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7D1" w:rsidRPr="00861595" w:rsidRDefault="002717D1" w:rsidP="00CF4755">
      <w:pPr>
        <w:pStyle w:val="Sinespaciado"/>
        <w:jc w:val="center"/>
        <w:rPr>
          <w:rFonts w:ascii="Edwardian Script ITC" w:hAnsi="Edwardian Script ITC"/>
          <w:b/>
          <w:sz w:val="34"/>
          <w:szCs w:val="34"/>
          <w:lang w:eastAsia="es-MX"/>
        </w:rPr>
      </w:pPr>
      <w:r w:rsidRPr="00861595">
        <w:rPr>
          <w:rFonts w:ascii="Edwardian Script ITC" w:hAnsi="Edwardian Script ITC"/>
          <w:b/>
          <w:sz w:val="34"/>
          <w:szCs w:val="34"/>
        </w:rPr>
        <w:t>Rama Legislativa del Poder Público</w:t>
      </w:r>
    </w:p>
    <w:p w:rsidR="002717D1" w:rsidRPr="00861595" w:rsidRDefault="002717D1" w:rsidP="00CF4755">
      <w:pPr>
        <w:pStyle w:val="Sinespaciado"/>
        <w:jc w:val="center"/>
        <w:rPr>
          <w:rFonts w:ascii="Edwardian Script ITC" w:hAnsi="Edwardian Script ITC"/>
          <w:b/>
          <w:sz w:val="34"/>
          <w:szCs w:val="34"/>
        </w:rPr>
      </w:pPr>
      <w:r w:rsidRPr="00861595">
        <w:rPr>
          <w:rFonts w:ascii="Edwardian Script ITC" w:hAnsi="Edwardian Script ITC"/>
          <w:b/>
          <w:sz w:val="34"/>
          <w:szCs w:val="34"/>
        </w:rPr>
        <w:t>Comisión Séptima Constitucional Permanente</w:t>
      </w:r>
    </w:p>
    <w:p w:rsidR="002717D1" w:rsidRPr="00861595" w:rsidRDefault="007E2AD8" w:rsidP="00CF4755">
      <w:pPr>
        <w:pStyle w:val="Sinespaciado"/>
        <w:jc w:val="center"/>
        <w:rPr>
          <w:rFonts w:ascii="Edwardian Script ITC" w:hAnsi="Edwardian Script ITC"/>
          <w:b/>
          <w:sz w:val="34"/>
          <w:szCs w:val="34"/>
        </w:rPr>
      </w:pPr>
      <w:r>
        <w:rPr>
          <w:rFonts w:ascii="Edwardian Script ITC" w:hAnsi="Edwardian Script ITC"/>
          <w:b/>
          <w:sz w:val="34"/>
          <w:szCs w:val="34"/>
        </w:rPr>
        <w:t>Legislatura 2021-2022</w:t>
      </w:r>
    </w:p>
    <w:p w:rsidR="00A769D4" w:rsidRDefault="00A769D4" w:rsidP="00CF4755">
      <w:pPr>
        <w:pStyle w:val="Sinespaciado"/>
        <w:jc w:val="center"/>
        <w:rPr>
          <w:rFonts w:ascii="Edwardian Script ITC" w:hAnsi="Edwardian Script ITC" w:cs="Arial"/>
          <w:b/>
          <w:sz w:val="18"/>
          <w:szCs w:val="18"/>
        </w:rPr>
      </w:pPr>
    </w:p>
    <w:p w:rsidR="005530EF" w:rsidRPr="00D03B12" w:rsidRDefault="00E8300E" w:rsidP="006A100D">
      <w:pPr>
        <w:pStyle w:val="Sinespaciado"/>
        <w:jc w:val="both"/>
        <w:rPr>
          <w:rFonts w:ascii="Arial" w:hAnsi="Arial" w:cs="Arial"/>
          <w:b/>
        </w:rPr>
      </w:pPr>
      <w:r w:rsidRPr="00D03B12">
        <w:rPr>
          <w:rFonts w:ascii="Arial" w:hAnsi="Arial" w:cs="Arial"/>
          <w:b/>
          <w:bCs/>
        </w:rPr>
        <w:t>TEXTO DEFINITIVO APROBADO EN PRIMER DEBATE DEL PROYECTO DE LEY</w:t>
      </w:r>
      <w:r w:rsidRPr="00D03B12">
        <w:rPr>
          <w:rFonts w:ascii="Arial" w:hAnsi="Arial" w:cs="Arial"/>
          <w:b/>
        </w:rPr>
        <w:t xml:space="preserve"> </w:t>
      </w:r>
      <w:r w:rsidR="00D03B12" w:rsidRPr="00D03B12">
        <w:rPr>
          <w:rFonts w:ascii="Arial" w:hAnsi="Arial" w:cs="Arial"/>
          <w:b/>
        </w:rPr>
        <w:t>No. 020 DE 2021 CÁMARA “POR LA CUAL SE PROMUEVE EL RESPETO Y LA DIGNIFICACIÓN LABORAL DEL TALENTO HUMANO EN SALUD Y SE DICTAN OTRAS DISPOSICIONES</w:t>
      </w:r>
      <w:r w:rsidR="00D03B12" w:rsidRPr="00D03B12">
        <w:rPr>
          <w:rFonts w:ascii="Arial" w:hAnsi="Arial" w:cs="Arial"/>
        </w:rPr>
        <w:t>”</w:t>
      </w:r>
      <w:r w:rsidR="00D03B12">
        <w:rPr>
          <w:rFonts w:ascii="Arial" w:hAnsi="Arial" w:cs="Arial"/>
        </w:rPr>
        <w:t>.</w:t>
      </w:r>
      <w:bookmarkStart w:id="0" w:name="_GoBack"/>
      <w:bookmarkEnd w:id="0"/>
    </w:p>
    <w:p w:rsidR="000C53A5" w:rsidRPr="006A100D" w:rsidRDefault="000C53A5" w:rsidP="00980BFE">
      <w:pPr>
        <w:pStyle w:val="Sinespaciado"/>
        <w:jc w:val="both"/>
        <w:rPr>
          <w:rFonts w:ascii="Arial" w:hAnsi="Arial" w:cs="Arial"/>
          <w:b/>
        </w:rPr>
      </w:pPr>
    </w:p>
    <w:p w:rsidR="002717D1" w:rsidRPr="006A100D" w:rsidRDefault="002717D1" w:rsidP="00980BFE">
      <w:pPr>
        <w:pStyle w:val="Sinespaciado"/>
        <w:jc w:val="center"/>
        <w:rPr>
          <w:rFonts w:ascii="Arial" w:hAnsi="Arial" w:cs="Arial"/>
        </w:rPr>
      </w:pPr>
      <w:r w:rsidRPr="006A100D">
        <w:rPr>
          <w:rFonts w:ascii="Arial" w:hAnsi="Arial" w:cs="Arial"/>
        </w:rPr>
        <w:t>(Aprobado en la</w:t>
      </w:r>
      <w:r w:rsidR="00E77D6C">
        <w:rPr>
          <w:rFonts w:ascii="Arial" w:hAnsi="Arial" w:cs="Arial"/>
        </w:rPr>
        <w:t>s</w:t>
      </w:r>
      <w:r w:rsidRPr="006A100D">
        <w:rPr>
          <w:rFonts w:ascii="Arial" w:hAnsi="Arial" w:cs="Arial"/>
        </w:rPr>
        <w:t xml:space="preserve"> </w:t>
      </w:r>
      <w:r w:rsidR="00E77D6C">
        <w:rPr>
          <w:rFonts w:ascii="Arial" w:hAnsi="Arial" w:cs="Arial"/>
        </w:rPr>
        <w:t xml:space="preserve">Sesiones semipresenciales </w:t>
      </w:r>
      <w:r w:rsidRPr="006A100D">
        <w:rPr>
          <w:rFonts w:ascii="Arial" w:hAnsi="Arial" w:cs="Arial"/>
        </w:rPr>
        <w:t>de</w:t>
      </w:r>
      <w:r w:rsidR="006B757E" w:rsidRPr="006A100D">
        <w:rPr>
          <w:rFonts w:ascii="Arial" w:hAnsi="Arial" w:cs="Arial"/>
        </w:rPr>
        <w:t xml:space="preserve">l </w:t>
      </w:r>
      <w:r w:rsidR="00E77D6C">
        <w:rPr>
          <w:rFonts w:ascii="Arial" w:hAnsi="Arial" w:cs="Arial"/>
        </w:rPr>
        <w:t>22, 28 y 29</w:t>
      </w:r>
      <w:r w:rsidR="007E2AD8">
        <w:rPr>
          <w:rFonts w:ascii="Arial" w:hAnsi="Arial" w:cs="Arial"/>
        </w:rPr>
        <w:t xml:space="preserve"> de </w:t>
      </w:r>
      <w:r w:rsidR="0011513A">
        <w:rPr>
          <w:rFonts w:ascii="Arial" w:hAnsi="Arial" w:cs="Arial"/>
        </w:rPr>
        <w:t>septiembre de 2021</w:t>
      </w:r>
      <w:r w:rsidR="00282D98" w:rsidRPr="006A100D">
        <w:rPr>
          <w:rFonts w:ascii="Arial" w:hAnsi="Arial" w:cs="Arial"/>
        </w:rPr>
        <w:t>,</w:t>
      </w:r>
      <w:r w:rsidRPr="006A100D">
        <w:rPr>
          <w:rFonts w:ascii="Arial" w:hAnsi="Arial" w:cs="Arial"/>
        </w:rPr>
        <w:t xml:space="preserve"> Comisión VII </w:t>
      </w:r>
      <w:r w:rsidR="00282D98" w:rsidRPr="006A100D">
        <w:rPr>
          <w:rFonts w:ascii="Arial" w:hAnsi="Arial" w:cs="Arial"/>
        </w:rPr>
        <w:t xml:space="preserve">Constitucional Permanente </w:t>
      </w:r>
      <w:r w:rsidRPr="006A100D">
        <w:rPr>
          <w:rFonts w:ascii="Arial" w:hAnsi="Arial" w:cs="Arial"/>
        </w:rPr>
        <w:t>de la H. Cámara de Representantes, Acta</w:t>
      </w:r>
      <w:r w:rsidR="00E77D6C">
        <w:rPr>
          <w:rFonts w:ascii="Arial" w:hAnsi="Arial" w:cs="Arial"/>
        </w:rPr>
        <w:t>s</w:t>
      </w:r>
      <w:r w:rsidRPr="006A100D">
        <w:rPr>
          <w:rFonts w:ascii="Arial" w:hAnsi="Arial" w:cs="Arial"/>
        </w:rPr>
        <w:t xml:space="preserve"> No.</w:t>
      </w:r>
      <w:r w:rsidR="006B757E" w:rsidRPr="006A100D">
        <w:rPr>
          <w:rFonts w:ascii="Arial" w:hAnsi="Arial" w:cs="Arial"/>
        </w:rPr>
        <w:t xml:space="preserve"> </w:t>
      </w:r>
      <w:r w:rsidR="0011513A">
        <w:rPr>
          <w:rFonts w:ascii="Arial" w:hAnsi="Arial" w:cs="Arial"/>
        </w:rPr>
        <w:t>1</w:t>
      </w:r>
      <w:r w:rsidR="00E77D6C">
        <w:rPr>
          <w:rFonts w:ascii="Arial" w:hAnsi="Arial" w:cs="Arial"/>
        </w:rPr>
        <w:t>6, 17 y 18</w:t>
      </w:r>
      <w:r w:rsidRPr="006A100D">
        <w:rPr>
          <w:rFonts w:ascii="Arial" w:hAnsi="Arial" w:cs="Arial"/>
        </w:rPr>
        <w:t>)</w:t>
      </w:r>
    </w:p>
    <w:p w:rsidR="00E24232" w:rsidRPr="006A100D" w:rsidRDefault="00E24232" w:rsidP="00980BFE">
      <w:pPr>
        <w:pStyle w:val="Sinespaciado"/>
        <w:jc w:val="both"/>
        <w:rPr>
          <w:rFonts w:ascii="Arial" w:hAnsi="Arial" w:cs="Arial"/>
        </w:rPr>
      </w:pPr>
    </w:p>
    <w:p w:rsidR="001C7B89" w:rsidRPr="006A100D" w:rsidRDefault="001C7B89" w:rsidP="00980BFE">
      <w:pPr>
        <w:pStyle w:val="Sinespaciado"/>
        <w:jc w:val="center"/>
        <w:rPr>
          <w:rFonts w:ascii="Arial" w:hAnsi="Arial" w:cs="Arial"/>
          <w:b/>
        </w:rPr>
      </w:pPr>
      <w:r w:rsidRPr="006A100D">
        <w:rPr>
          <w:rFonts w:ascii="Arial" w:hAnsi="Arial" w:cs="Arial"/>
          <w:b/>
        </w:rPr>
        <w:t>EL CONGRESO DE COLOMBIA</w:t>
      </w:r>
    </w:p>
    <w:p w:rsidR="00CE617B" w:rsidRPr="006A100D" w:rsidRDefault="00CE617B" w:rsidP="00980BFE">
      <w:pPr>
        <w:pStyle w:val="Sinespaciado"/>
        <w:jc w:val="center"/>
        <w:rPr>
          <w:rFonts w:ascii="Arial" w:hAnsi="Arial" w:cs="Arial"/>
          <w:b/>
        </w:rPr>
      </w:pPr>
    </w:p>
    <w:p w:rsidR="00EA48F0" w:rsidRPr="006A100D" w:rsidRDefault="00EA48F0" w:rsidP="00980BFE">
      <w:pPr>
        <w:pStyle w:val="Sinespaciado"/>
        <w:jc w:val="center"/>
        <w:rPr>
          <w:rFonts w:ascii="Arial" w:hAnsi="Arial" w:cs="Arial"/>
        </w:rPr>
      </w:pPr>
      <w:r w:rsidRPr="006A100D">
        <w:rPr>
          <w:rFonts w:ascii="Arial" w:hAnsi="Arial" w:cs="Arial"/>
          <w:b/>
        </w:rPr>
        <w:t>DECRETA:</w:t>
      </w:r>
    </w:p>
    <w:p w:rsidR="00232981" w:rsidRDefault="00232981" w:rsidP="006976EA">
      <w:pPr>
        <w:pStyle w:val="Sinespaciado"/>
        <w:jc w:val="both"/>
        <w:rPr>
          <w:rFonts w:ascii="Arial" w:hAnsi="Arial" w:cs="Arial"/>
          <w:b/>
        </w:rPr>
      </w:pPr>
    </w:p>
    <w:p w:rsidR="00E77D6C" w:rsidRPr="00E77D6C" w:rsidRDefault="00E77D6C" w:rsidP="00E77D6C">
      <w:pPr>
        <w:pStyle w:val="Sinespaciado"/>
        <w:jc w:val="both"/>
        <w:rPr>
          <w:rFonts w:ascii="Arial" w:hAnsi="Arial" w:cs="Arial"/>
        </w:rPr>
      </w:pPr>
      <w:r w:rsidRPr="00E77D6C">
        <w:rPr>
          <w:rFonts w:ascii="Arial" w:hAnsi="Arial" w:cs="Arial"/>
          <w:b/>
        </w:rPr>
        <w:t>ARTÍCULO 1o. Objeto:</w:t>
      </w:r>
      <w:r w:rsidRPr="00E77D6C">
        <w:rPr>
          <w:rFonts w:ascii="Arial" w:hAnsi="Arial" w:cs="Arial"/>
        </w:rPr>
        <w:t xml:space="preserve"> La presente ley tiene como objeto dignificar y regular las condiciones de trabajo del talento humano del sistema de salud en el territorio colombiano, propendiendo por establecer condiciones dignas en la vinculación, pago justo y oportuno, conforme a las normas concordantes en la materia. </w:t>
      </w:r>
    </w:p>
    <w:p w:rsidR="00E77D6C" w:rsidRPr="00E77D6C" w:rsidRDefault="00E77D6C" w:rsidP="00E77D6C">
      <w:pPr>
        <w:pStyle w:val="Sinespaciado"/>
        <w:jc w:val="both"/>
        <w:rPr>
          <w:rFonts w:ascii="Arial" w:hAnsi="Arial" w:cs="Arial"/>
        </w:rPr>
      </w:pPr>
    </w:p>
    <w:p w:rsidR="00E77D6C" w:rsidRPr="00E77D6C" w:rsidRDefault="00E77D6C" w:rsidP="00E77D6C">
      <w:pPr>
        <w:pStyle w:val="Sinespaciado"/>
        <w:jc w:val="both"/>
        <w:rPr>
          <w:rFonts w:ascii="Arial" w:hAnsi="Arial" w:cs="Arial"/>
        </w:rPr>
      </w:pPr>
      <w:r w:rsidRPr="00E77D6C">
        <w:rPr>
          <w:rFonts w:ascii="Arial" w:hAnsi="Arial" w:cs="Arial"/>
          <w:b/>
        </w:rPr>
        <w:t xml:space="preserve">ARTÍCULO 2. Vinculación y Régimen de los Trabajadores del Sector Salud. </w:t>
      </w:r>
      <w:r w:rsidRPr="00E77D6C">
        <w:rPr>
          <w:rFonts w:ascii="Arial" w:hAnsi="Arial" w:cs="Arial"/>
        </w:rPr>
        <w:t xml:space="preserve">Está prohibida cualquier forma de vinculación del talento humano del área de la salud que permita, contenga o encubra prácticas o facilite figuras de intermediación o tercerización laboral a través de contratos civiles o comerciales, cooperativas o cualquier otra forma que afecte sus derechos constitucionales, legales y prestacionales consagrados en las normas laborales vigentes. </w:t>
      </w:r>
    </w:p>
    <w:p w:rsidR="00E77D6C" w:rsidRPr="00E77D6C" w:rsidRDefault="00E77D6C" w:rsidP="00E77D6C">
      <w:pPr>
        <w:pStyle w:val="Sinespaciado"/>
        <w:jc w:val="both"/>
        <w:rPr>
          <w:rFonts w:ascii="Arial" w:hAnsi="Arial" w:cs="Arial"/>
        </w:rPr>
      </w:pPr>
      <w:r w:rsidRPr="00E77D6C">
        <w:rPr>
          <w:rFonts w:ascii="Arial" w:hAnsi="Arial" w:cs="Arial"/>
        </w:rPr>
        <w:t xml:space="preserve"> </w:t>
      </w:r>
    </w:p>
    <w:p w:rsidR="00E77D6C" w:rsidRPr="00E77D6C" w:rsidRDefault="00E77D6C" w:rsidP="00E77D6C">
      <w:pPr>
        <w:pStyle w:val="Sinespaciado"/>
        <w:jc w:val="both"/>
        <w:rPr>
          <w:rFonts w:ascii="Arial" w:hAnsi="Arial" w:cs="Arial"/>
        </w:rPr>
      </w:pPr>
      <w:r w:rsidRPr="00E77D6C">
        <w:rPr>
          <w:rFonts w:ascii="Arial" w:hAnsi="Arial" w:cs="Arial"/>
        </w:rPr>
        <w:t xml:space="preserve">La institución contratante no podrá exigir al talento humano del sector salud, la constitución o entrega de una póliza de responsabilidad civil para ser vinculado o permanecer en la institución o entidad prestadora de servicios de salud. </w:t>
      </w:r>
    </w:p>
    <w:p w:rsidR="00E77D6C" w:rsidRPr="00E77D6C" w:rsidRDefault="00E77D6C" w:rsidP="00E77D6C">
      <w:pPr>
        <w:pStyle w:val="Sinespaciado"/>
        <w:jc w:val="both"/>
        <w:rPr>
          <w:rFonts w:ascii="Arial" w:hAnsi="Arial" w:cs="Arial"/>
        </w:rPr>
      </w:pPr>
      <w:r w:rsidRPr="00E77D6C">
        <w:rPr>
          <w:rFonts w:ascii="Arial" w:hAnsi="Arial" w:cs="Arial"/>
        </w:rPr>
        <w:t xml:space="preserve"> </w:t>
      </w:r>
    </w:p>
    <w:p w:rsidR="00E77D6C" w:rsidRPr="00E77D6C" w:rsidRDefault="00E77D6C" w:rsidP="00E77D6C">
      <w:pPr>
        <w:pStyle w:val="Sinespaciado"/>
        <w:jc w:val="both"/>
        <w:rPr>
          <w:rFonts w:ascii="Arial" w:hAnsi="Arial" w:cs="Arial"/>
        </w:rPr>
      </w:pPr>
      <w:r w:rsidRPr="00E77D6C">
        <w:rPr>
          <w:rFonts w:ascii="Arial" w:hAnsi="Arial" w:cs="Arial"/>
        </w:rPr>
        <w:t xml:space="preserve">Se deberán respetar las jornadas máximas legales establecidas dentro de las diferentes modalidades de contratación vigentes en el ordenamiento jurídico colombiano; en todo caso se deben evitar jornadas extenuantes que puedan poner en peligro el correcto desarrollo del ejercicio, la calidad en el servicio, la seguridad, la salud, así como la dignidad del talento humano. </w:t>
      </w:r>
    </w:p>
    <w:p w:rsidR="00E77D6C" w:rsidRPr="00E77D6C" w:rsidRDefault="00E77D6C" w:rsidP="00E77D6C">
      <w:pPr>
        <w:pStyle w:val="Sinespaciado"/>
        <w:jc w:val="both"/>
        <w:rPr>
          <w:rFonts w:ascii="Arial" w:hAnsi="Arial" w:cs="Arial"/>
        </w:rPr>
      </w:pPr>
      <w:r w:rsidRPr="00E77D6C">
        <w:rPr>
          <w:rFonts w:ascii="Arial" w:hAnsi="Arial" w:cs="Arial"/>
        </w:rPr>
        <w:t xml:space="preserve"> </w:t>
      </w:r>
    </w:p>
    <w:p w:rsidR="00E77D6C" w:rsidRPr="00E77D6C" w:rsidRDefault="00E77D6C" w:rsidP="00E77D6C">
      <w:pPr>
        <w:pStyle w:val="Sinespaciado"/>
        <w:jc w:val="both"/>
        <w:rPr>
          <w:rFonts w:ascii="Arial" w:hAnsi="Arial" w:cs="Arial"/>
        </w:rPr>
      </w:pPr>
      <w:r w:rsidRPr="00E77D6C">
        <w:rPr>
          <w:rFonts w:ascii="Arial" w:hAnsi="Arial" w:cs="Arial"/>
        </w:rPr>
        <w:t xml:space="preserve">El Ministerio de Trabajo ejercerá la inspección, vigilancia y control sobre la forma de vinculación y condiciones laborales del talento humano. </w:t>
      </w:r>
    </w:p>
    <w:p w:rsidR="00E77D6C" w:rsidRPr="00E77D6C" w:rsidRDefault="00E77D6C" w:rsidP="00E77D6C">
      <w:pPr>
        <w:pStyle w:val="Sinespaciado"/>
        <w:jc w:val="both"/>
        <w:rPr>
          <w:rFonts w:ascii="Arial" w:hAnsi="Arial" w:cs="Arial"/>
        </w:rPr>
      </w:pPr>
    </w:p>
    <w:p w:rsidR="00E77D6C" w:rsidRPr="00E77D6C" w:rsidRDefault="00E77D6C" w:rsidP="00E77D6C">
      <w:pPr>
        <w:pStyle w:val="Sinespaciado"/>
        <w:jc w:val="both"/>
        <w:rPr>
          <w:rFonts w:ascii="Arial" w:hAnsi="Arial" w:cs="Arial"/>
        </w:rPr>
      </w:pPr>
      <w:r w:rsidRPr="00E77D6C">
        <w:rPr>
          <w:rFonts w:ascii="Arial" w:hAnsi="Arial" w:cs="Arial"/>
          <w:b/>
        </w:rPr>
        <w:t>Parágrafo.</w:t>
      </w:r>
      <w:r w:rsidRPr="00E77D6C">
        <w:rPr>
          <w:rFonts w:ascii="Arial" w:hAnsi="Arial" w:cs="Arial"/>
        </w:rPr>
        <w:t xml:space="preserve"> Los prestadores de servicios de salud deberá organizar como mínimo dos (2) veces al año actividades complementarias en promoción y prevención y deberán contemplar acompañamiento en casos de violencia intrafamiliar, adicciones, burnout y demás condiciones en salud mental que afecten el desempeño laboral y social del personal de salud. Sobre las actividades aquí́ dispuestas, los prestadores de servicios de salud informarán al Ministerio del Trabajo la implementación de estas, al igual que las evidencias de la respectiva implementación.</w:t>
      </w:r>
    </w:p>
    <w:p w:rsidR="00E77D6C" w:rsidRPr="00E77D6C" w:rsidRDefault="00E77D6C" w:rsidP="00E77D6C">
      <w:pPr>
        <w:pStyle w:val="Sinespaciado"/>
        <w:jc w:val="both"/>
        <w:rPr>
          <w:rFonts w:ascii="Arial" w:hAnsi="Arial" w:cs="Arial"/>
        </w:rPr>
      </w:pPr>
      <w:r w:rsidRPr="00E77D6C">
        <w:rPr>
          <w:rFonts w:ascii="Arial" w:hAnsi="Arial" w:cs="Arial"/>
        </w:rPr>
        <w:t xml:space="preserve"> </w:t>
      </w:r>
    </w:p>
    <w:p w:rsidR="00E77D6C" w:rsidRPr="00E77D6C" w:rsidRDefault="00E77D6C" w:rsidP="00E77D6C">
      <w:pPr>
        <w:pStyle w:val="Sinespaciado"/>
        <w:jc w:val="both"/>
        <w:rPr>
          <w:rFonts w:ascii="Arial" w:hAnsi="Arial" w:cs="Arial"/>
        </w:rPr>
      </w:pPr>
      <w:r w:rsidRPr="00E77D6C">
        <w:rPr>
          <w:rFonts w:ascii="Arial" w:hAnsi="Arial" w:cs="Arial"/>
          <w:b/>
        </w:rPr>
        <w:t xml:space="preserve">ARTÍCULO 3o. La vinculación de los especialistas del área de conocimiento de ciencias de la salud </w:t>
      </w:r>
      <w:r w:rsidRPr="00E77D6C">
        <w:rPr>
          <w:rFonts w:ascii="Arial" w:hAnsi="Arial" w:cs="Arial"/>
        </w:rPr>
        <w:t xml:space="preserve">podrá realizarse tanto en el sector público como el privado a través de las distintas modalidades que permita el ordenamiento jurídico colombiano para la contratación de servicios profesionales, incluidas las modalidades establecidas en el Código Sustantivo del Trabajo. </w:t>
      </w:r>
    </w:p>
    <w:p w:rsidR="00E77D6C" w:rsidRPr="00E77D6C" w:rsidRDefault="00E77D6C" w:rsidP="00E77D6C">
      <w:pPr>
        <w:pStyle w:val="Sinespaciado"/>
        <w:jc w:val="both"/>
        <w:rPr>
          <w:rFonts w:ascii="Arial" w:hAnsi="Arial" w:cs="Arial"/>
          <w:color w:val="7030A0"/>
        </w:rPr>
      </w:pPr>
    </w:p>
    <w:p w:rsidR="00E77D6C" w:rsidRPr="00E77D6C" w:rsidRDefault="00E77D6C" w:rsidP="00E77D6C">
      <w:pPr>
        <w:pStyle w:val="Sinespaciado"/>
        <w:jc w:val="both"/>
        <w:rPr>
          <w:rFonts w:ascii="Arial" w:hAnsi="Arial" w:cs="Arial"/>
        </w:rPr>
      </w:pPr>
      <w:r w:rsidRPr="00E77D6C">
        <w:rPr>
          <w:rFonts w:ascii="Arial" w:hAnsi="Arial" w:cs="Arial"/>
        </w:rPr>
        <w:t>Dicha vinculación se realizará acorde a los siguientes criterios.</w:t>
      </w:r>
    </w:p>
    <w:p w:rsidR="00E77D6C" w:rsidRPr="00E77D6C" w:rsidRDefault="00E77D6C" w:rsidP="00E77D6C">
      <w:pPr>
        <w:pStyle w:val="Sinespaciado"/>
        <w:jc w:val="both"/>
        <w:rPr>
          <w:rFonts w:ascii="Arial" w:hAnsi="Arial" w:cs="Arial"/>
        </w:rPr>
      </w:pPr>
    </w:p>
    <w:p w:rsidR="00E77D6C" w:rsidRPr="00E77D6C" w:rsidRDefault="00E77D6C" w:rsidP="00E77D6C">
      <w:pPr>
        <w:pStyle w:val="Sinespaciado"/>
        <w:jc w:val="both"/>
        <w:rPr>
          <w:rFonts w:ascii="Arial" w:hAnsi="Arial" w:cs="Arial"/>
        </w:rPr>
      </w:pPr>
      <w:r w:rsidRPr="00E77D6C">
        <w:rPr>
          <w:rFonts w:ascii="Arial" w:hAnsi="Arial" w:cs="Arial"/>
          <w:b/>
        </w:rPr>
        <w:t>4.1.</w:t>
      </w:r>
      <w:r w:rsidRPr="00E77D6C">
        <w:rPr>
          <w:rFonts w:ascii="Arial" w:hAnsi="Arial" w:cs="Arial"/>
        </w:rPr>
        <w:t xml:space="preserve"> En la vinculación de especialistas en áreas de conocimiento de ciencias de la salud.</w:t>
      </w:r>
    </w:p>
    <w:p w:rsidR="00E77D6C" w:rsidRPr="00E77D6C" w:rsidRDefault="00E77D6C" w:rsidP="00E77D6C">
      <w:pPr>
        <w:pStyle w:val="Sinespaciado"/>
        <w:jc w:val="both"/>
        <w:rPr>
          <w:rFonts w:ascii="Arial" w:hAnsi="Arial" w:cs="Arial"/>
        </w:rPr>
      </w:pPr>
      <w:r w:rsidRPr="00E77D6C">
        <w:rPr>
          <w:rFonts w:ascii="Arial" w:hAnsi="Arial" w:cs="Arial"/>
          <w:b/>
        </w:rPr>
        <w:t>4.2.</w:t>
      </w:r>
      <w:r w:rsidRPr="00E77D6C">
        <w:rPr>
          <w:rFonts w:ascii="Arial" w:hAnsi="Arial" w:cs="Arial"/>
        </w:rPr>
        <w:t xml:space="preserve"> En aquellas situaciones que por las características del servicio de salud que se presta no pueda ser realizado por el personal de planta o requieran características </w:t>
      </w:r>
      <w:r w:rsidRPr="00E77D6C">
        <w:rPr>
          <w:rFonts w:ascii="Arial" w:hAnsi="Arial" w:cs="Arial"/>
          <w:i/>
        </w:rPr>
        <w:t>intuito personae</w:t>
      </w:r>
      <w:r w:rsidRPr="00E77D6C">
        <w:rPr>
          <w:rFonts w:ascii="Arial" w:hAnsi="Arial" w:cs="Arial"/>
        </w:rPr>
        <w:t>.</w:t>
      </w:r>
    </w:p>
    <w:p w:rsidR="00E77D6C" w:rsidRPr="00E77D6C" w:rsidRDefault="00E77D6C" w:rsidP="00E77D6C">
      <w:pPr>
        <w:pStyle w:val="Sinespaciado"/>
        <w:jc w:val="both"/>
        <w:rPr>
          <w:rFonts w:ascii="Arial" w:hAnsi="Arial" w:cs="Arial"/>
        </w:rPr>
      </w:pPr>
      <w:r w:rsidRPr="00E77D6C">
        <w:rPr>
          <w:rFonts w:ascii="Arial" w:hAnsi="Arial" w:cs="Arial"/>
          <w:b/>
        </w:rPr>
        <w:t>4.3.</w:t>
      </w:r>
      <w:r w:rsidRPr="00E77D6C">
        <w:rPr>
          <w:rFonts w:ascii="Arial" w:hAnsi="Arial" w:cs="Arial"/>
        </w:rPr>
        <w:t xml:space="preserve"> En la prestación de servicios por profesionales de la salud que desarrollen su ejercicio profesional de manera independiente.</w:t>
      </w:r>
    </w:p>
    <w:p w:rsidR="00E77D6C" w:rsidRPr="00E77D6C" w:rsidRDefault="00E77D6C" w:rsidP="00E77D6C">
      <w:pPr>
        <w:pStyle w:val="Sinespaciado"/>
        <w:jc w:val="both"/>
        <w:rPr>
          <w:rFonts w:ascii="Arial" w:hAnsi="Arial" w:cs="Arial"/>
          <w:u w:val="single"/>
        </w:rPr>
      </w:pPr>
    </w:p>
    <w:p w:rsidR="00E77D6C" w:rsidRPr="00E77D6C" w:rsidRDefault="00E77D6C" w:rsidP="00E77D6C">
      <w:pPr>
        <w:pStyle w:val="Sinespaciado"/>
        <w:jc w:val="both"/>
        <w:rPr>
          <w:rFonts w:ascii="Arial" w:hAnsi="Arial" w:cs="Arial"/>
        </w:rPr>
      </w:pPr>
      <w:r w:rsidRPr="00E77D6C">
        <w:rPr>
          <w:rFonts w:ascii="Arial" w:hAnsi="Arial" w:cs="Arial"/>
          <w:b/>
        </w:rPr>
        <w:t xml:space="preserve">ARTÍCULO 4°. Pago justo y oportuno: </w:t>
      </w:r>
      <w:r w:rsidRPr="00E77D6C">
        <w:rPr>
          <w:rFonts w:ascii="Arial" w:hAnsi="Arial" w:cs="Arial"/>
        </w:rPr>
        <w:t xml:space="preserve">Los agentes del sistema de salud, independientemente de su naturaleza, tienen la obligación de girar de manera oportuna los valores por los servicios prestados a las instituciones prestadores de servicios de salud, para que éstas efectúen el pago de las obligaciones laborales y/o contractuales del talento humano, las cuales tendrán prioridad sobre cualquier otro pago, so pena de las sanciones por parte de las autoridades competentes.  </w:t>
      </w:r>
    </w:p>
    <w:p w:rsidR="00E77D6C" w:rsidRPr="00E77D6C" w:rsidRDefault="00E77D6C" w:rsidP="00E77D6C">
      <w:pPr>
        <w:pStyle w:val="Sinespaciado"/>
        <w:jc w:val="both"/>
        <w:rPr>
          <w:rFonts w:ascii="Arial" w:hAnsi="Arial" w:cs="Arial"/>
        </w:rPr>
      </w:pPr>
      <w:r w:rsidRPr="00E77D6C">
        <w:rPr>
          <w:rFonts w:ascii="Arial" w:hAnsi="Arial" w:cs="Arial"/>
        </w:rPr>
        <w:t xml:space="preserve"> </w:t>
      </w:r>
    </w:p>
    <w:p w:rsidR="00E77D6C" w:rsidRPr="00E77D6C" w:rsidRDefault="00E77D6C" w:rsidP="00E77D6C">
      <w:pPr>
        <w:pStyle w:val="Sinespaciado"/>
        <w:jc w:val="both"/>
        <w:rPr>
          <w:rFonts w:ascii="Arial" w:hAnsi="Arial" w:cs="Arial"/>
        </w:rPr>
      </w:pPr>
      <w:r w:rsidRPr="00E77D6C">
        <w:rPr>
          <w:rFonts w:ascii="Arial" w:hAnsi="Arial" w:cs="Arial"/>
        </w:rPr>
        <w:t>En los casos del pago oportuno para especialistas del área de conocimiento de ciencias de la salud contratados bajos las modalidades que permita el ordenamiento jurídico colombiano, distintas a las establecidas en el Código Sustantivo del Trabajo, la remuneración correspondiente se realizará dentro de los quince (15) días calendario siguientes a la presentación de la cuenta de cobro.</w:t>
      </w:r>
    </w:p>
    <w:p w:rsidR="00E77D6C" w:rsidRPr="00E77D6C" w:rsidRDefault="00E77D6C" w:rsidP="00E77D6C">
      <w:pPr>
        <w:pStyle w:val="Sinespaciado"/>
        <w:jc w:val="both"/>
        <w:rPr>
          <w:rFonts w:ascii="Arial" w:hAnsi="Arial" w:cs="Arial"/>
        </w:rPr>
      </w:pPr>
    </w:p>
    <w:p w:rsidR="00E77D6C" w:rsidRPr="00E77D6C" w:rsidRDefault="00E77D6C" w:rsidP="00E77D6C">
      <w:pPr>
        <w:pStyle w:val="Sinespaciado"/>
        <w:jc w:val="both"/>
        <w:rPr>
          <w:rFonts w:ascii="Arial" w:hAnsi="Arial" w:cs="Arial"/>
        </w:rPr>
      </w:pPr>
      <w:r w:rsidRPr="00E77D6C">
        <w:rPr>
          <w:rFonts w:ascii="Arial" w:hAnsi="Arial" w:cs="Arial"/>
        </w:rPr>
        <w:t xml:space="preserve">En los casos de incumplimiento en el pago en los términos acá establecidos estará obligado a reconocer los intereses moratorios a la tasa equivalente a una y media veces el interés bancario corriente, certificado por la Superintendencia Financiera. </w:t>
      </w:r>
    </w:p>
    <w:p w:rsidR="00E77D6C" w:rsidRPr="00E77D6C" w:rsidRDefault="00E77D6C" w:rsidP="00E77D6C">
      <w:pPr>
        <w:pStyle w:val="Sinespaciado"/>
        <w:jc w:val="both"/>
        <w:rPr>
          <w:rFonts w:ascii="Arial" w:hAnsi="Arial" w:cs="Arial"/>
        </w:rPr>
      </w:pPr>
    </w:p>
    <w:p w:rsidR="00E77D6C" w:rsidRPr="00E77D6C" w:rsidRDefault="00E77D6C" w:rsidP="00E77D6C">
      <w:pPr>
        <w:pStyle w:val="Sinespaciado"/>
        <w:jc w:val="both"/>
        <w:rPr>
          <w:rFonts w:ascii="Arial" w:hAnsi="Arial" w:cs="Arial"/>
        </w:rPr>
      </w:pPr>
      <w:r w:rsidRPr="00E77D6C">
        <w:rPr>
          <w:rFonts w:ascii="Arial" w:hAnsi="Arial" w:cs="Arial"/>
        </w:rPr>
        <w:t xml:space="preserve">En ningún caso, se podrá superar la tasa superior a la fijada por la ley como límite de usura. </w:t>
      </w:r>
    </w:p>
    <w:p w:rsidR="00E77D6C" w:rsidRPr="00E77D6C" w:rsidRDefault="00E77D6C" w:rsidP="00E77D6C">
      <w:pPr>
        <w:pStyle w:val="Sinespaciado"/>
        <w:jc w:val="both"/>
        <w:rPr>
          <w:rFonts w:ascii="Arial" w:hAnsi="Arial" w:cs="Arial"/>
          <w:b/>
        </w:rPr>
      </w:pPr>
    </w:p>
    <w:p w:rsidR="00E77D6C" w:rsidRPr="00E77D6C" w:rsidRDefault="00E77D6C" w:rsidP="00E77D6C">
      <w:pPr>
        <w:pStyle w:val="Sinespaciado"/>
        <w:jc w:val="both"/>
        <w:rPr>
          <w:rFonts w:ascii="Arial" w:hAnsi="Arial" w:cs="Arial"/>
        </w:rPr>
      </w:pPr>
      <w:r w:rsidRPr="00E77D6C">
        <w:rPr>
          <w:rFonts w:ascii="Arial" w:hAnsi="Arial" w:cs="Arial"/>
          <w:b/>
        </w:rPr>
        <w:t>ARTÍCULO 5°. Sanción por incumplimiento</w:t>
      </w:r>
      <w:r w:rsidRPr="00E77D6C">
        <w:rPr>
          <w:rFonts w:ascii="Arial" w:hAnsi="Arial" w:cs="Arial"/>
        </w:rPr>
        <w:t xml:space="preserve">. Los agentes del sistema de salud, bien sean de naturaleza pública o privada, que contraríen de manera injustificada las normas y principios establecidos en la presente ley, respecto del talento humano del sistema de salud, serán sancionados por el Ministerio del Trabajo, la Superintendencia Nacional de Salud o las Secretarías, Direcciones, Institutos o Unidades Administrativas Departamentales o Distritales de Salud, según sus competencias previo el cumplimiento del debido proceso. </w:t>
      </w:r>
    </w:p>
    <w:p w:rsidR="00E77D6C" w:rsidRPr="00E77D6C" w:rsidRDefault="00E77D6C" w:rsidP="00E77D6C">
      <w:pPr>
        <w:pStyle w:val="Sinespaciado"/>
        <w:jc w:val="both"/>
        <w:rPr>
          <w:rFonts w:ascii="Arial" w:hAnsi="Arial" w:cs="Arial"/>
        </w:rPr>
      </w:pPr>
    </w:p>
    <w:p w:rsidR="00E77D6C" w:rsidRPr="00E77D6C" w:rsidRDefault="00E77D6C" w:rsidP="00E77D6C">
      <w:pPr>
        <w:pStyle w:val="Sinespaciado"/>
        <w:jc w:val="both"/>
        <w:rPr>
          <w:rFonts w:ascii="Arial" w:hAnsi="Arial" w:cs="Arial"/>
        </w:rPr>
      </w:pPr>
      <w:r w:rsidRPr="00E77D6C">
        <w:rPr>
          <w:rFonts w:ascii="Arial" w:hAnsi="Arial" w:cs="Arial"/>
          <w:b/>
        </w:rPr>
        <w:t xml:space="preserve">ARTÍCULO 6°. Garantías para el suministro de los medios de labor: </w:t>
      </w:r>
      <w:r w:rsidRPr="00E77D6C">
        <w:rPr>
          <w:rFonts w:ascii="Arial" w:hAnsi="Arial" w:cs="Arial"/>
        </w:rPr>
        <w:t>Las Instituciones Prestadoras de Salud tanto públicas como privadas, garantizarán los insumos, recursos, tecnologías en salud, así como los demás medios de labor necesarios y suficientes para la atención segura y con calidad a los usuarios del sistema, independientemente de su vinculación laboral con la entidad.</w:t>
      </w:r>
    </w:p>
    <w:p w:rsidR="00E77D6C" w:rsidRPr="00E77D6C" w:rsidRDefault="00E77D6C" w:rsidP="00E77D6C">
      <w:pPr>
        <w:pStyle w:val="Sinespaciado"/>
        <w:jc w:val="both"/>
        <w:rPr>
          <w:rFonts w:ascii="Arial" w:hAnsi="Arial" w:cs="Arial"/>
        </w:rPr>
      </w:pPr>
    </w:p>
    <w:p w:rsidR="00E77D6C" w:rsidRPr="00E77D6C" w:rsidRDefault="00E77D6C" w:rsidP="00E77D6C">
      <w:pPr>
        <w:pStyle w:val="Sinespaciado"/>
        <w:jc w:val="both"/>
        <w:rPr>
          <w:rFonts w:ascii="Arial" w:hAnsi="Arial" w:cs="Arial"/>
        </w:rPr>
      </w:pPr>
      <w:r w:rsidRPr="00E77D6C">
        <w:rPr>
          <w:rFonts w:ascii="Arial" w:hAnsi="Arial" w:cs="Arial"/>
          <w:b/>
        </w:rPr>
        <w:t xml:space="preserve">ARTÍCULO 7º. Sistema de Gestión de Seguridad y Salud en el Trabajo. </w:t>
      </w:r>
      <w:r w:rsidRPr="00E77D6C">
        <w:rPr>
          <w:rFonts w:ascii="Arial" w:hAnsi="Arial" w:cs="Arial"/>
        </w:rPr>
        <w:t xml:space="preserve">El Sistema de Gestión de Seguridad y Salud en el Trabajo tendrá cobertura para todo el talento humano del sistema de salud, independiente de su forma de vinculación y la inspección, vigilancia y control del cumplimiento de las normas del Sistema de Riesgos Laborales por parte de los empleadores y contratantes corresponde al Ministerio del Trabajo de acuerdo con sus competencias </w:t>
      </w:r>
    </w:p>
    <w:p w:rsidR="00E77D6C" w:rsidRPr="00E77D6C" w:rsidRDefault="00E77D6C" w:rsidP="00E77D6C">
      <w:pPr>
        <w:pStyle w:val="Sinespaciado"/>
        <w:jc w:val="both"/>
        <w:rPr>
          <w:rFonts w:ascii="Arial" w:hAnsi="Arial" w:cs="Arial"/>
        </w:rPr>
      </w:pPr>
      <w:r w:rsidRPr="00E77D6C">
        <w:rPr>
          <w:rFonts w:ascii="Arial" w:hAnsi="Arial" w:cs="Arial"/>
        </w:rPr>
        <w:t xml:space="preserve"> </w:t>
      </w:r>
    </w:p>
    <w:p w:rsidR="00E77D6C" w:rsidRPr="00E77D6C" w:rsidRDefault="00E77D6C" w:rsidP="00E77D6C">
      <w:pPr>
        <w:pStyle w:val="Sinespaciado"/>
        <w:jc w:val="both"/>
        <w:rPr>
          <w:rFonts w:ascii="Arial" w:hAnsi="Arial" w:cs="Arial"/>
        </w:rPr>
      </w:pPr>
      <w:r w:rsidRPr="00E77D6C">
        <w:rPr>
          <w:rFonts w:ascii="Arial" w:hAnsi="Arial" w:cs="Arial"/>
        </w:rPr>
        <w:t xml:space="preserve">Las Instituciones Prestadoras de Salud públicas y privadas y demás organizaciones que vinculen talento humano del sistema de salud deben desarrollar los Sistemas de Gestión de Seguridad y Salud en el Trabajo conforme lo dispuesto en la Ley 1562 de 2012, el Decreto Ley 1295 de 1994 o las que las modifiquen o adicionen y demás normas concordantes. Para tal efecto deben destinar los recursos suficientes de acuerdo con el número de trabajadores y la complejidad de la organización.  </w:t>
      </w:r>
    </w:p>
    <w:p w:rsidR="00E77D6C" w:rsidRPr="00E77D6C" w:rsidRDefault="00E77D6C" w:rsidP="00E77D6C">
      <w:pPr>
        <w:pStyle w:val="Sinespaciado"/>
        <w:jc w:val="both"/>
        <w:rPr>
          <w:rFonts w:ascii="Arial" w:hAnsi="Arial" w:cs="Arial"/>
        </w:rPr>
      </w:pPr>
      <w:r w:rsidRPr="00E77D6C">
        <w:rPr>
          <w:rFonts w:ascii="Arial" w:hAnsi="Arial" w:cs="Arial"/>
        </w:rPr>
        <w:t xml:space="preserve"> </w:t>
      </w:r>
    </w:p>
    <w:p w:rsidR="00E77D6C" w:rsidRPr="00E77D6C" w:rsidRDefault="00E77D6C" w:rsidP="00E77D6C">
      <w:pPr>
        <w:pStyle w:val="Sinespaciado"/>
        <w:jc w:val="both"/>
        <w:rPr>
          <w:rFonts w:ascii="Arial" w:hAnsi="Arial" w:cs="Arial"/>
        </w:rPr>
      </w:pPr>
      <w:r w:rsidRPr="00E77D6C">
        <w:rPr>
          <w:rFonts w:ascii="Arial" w:hAnsi="Arial" w:cs="Arial"/>
        </w:rPr>
        <w:lastRenderedPageBreak/>
        <w:t xml:space="preserve">Dicho sistema deberá incluir las acciones dirigidas el mejoramiento de la calidad de vida y bienestar del talento humano del sistema de salud creando espacios e instancias donde puedan desarrollar actividades que favorezcan su desarrollo personal y profesional desde una perspectiva de integralidad y trato digno, abarcando aspectos laborales, económicos, culturales, académicos, deportivos y familiares. </w:t>
      </w:r>
    </w:p>
    <w:p w:rsidR="00E77D6C" w:rsidRPr="00E77D6C" w:rsidRDefault="00E77D6C" w:rsidP="00E77D6C">
      <w:pPr>
        <w:pStyle w:val="Sinespaciado"/>
        <w:jc w:val="both"/>
        <w:rPr>
          <w:rFonts w:ascii="Arial" w:hAnsi="Arial" w:cs="Arial"/>
        </w:rPr>
      </w:pPr>
      <w:r w:rsidRPr="00E77D6C">
        <w:rPr>
          <w:rFonts w:ascii="Arial" w:hAnsi="Arial" w:cs="Arial"/>
        </w:rPr>
        <w:t xml:space="preserve"> </w:t>
      </w:r>
    </w:p>
    <w:p w:rsidR="00E77D6C" w:rsidRPr="00E77D6C" w:rsidRDefault="00E77D6C" w:rsidP="00E77D6C">
      <w:pPr>
        <w:pStyle w:val="Sinespaciado"/>
        <w:jc w:val="both"/>
        <w:rPr>
          <w:rFonts w:ascii="Arial" w:hAnsi="Arial" w:cs="Arial"/>
        </w:rPr>
      </w:pPr>
      <w:r w:rsidRPr="00E77D6C">
        <w:rPr>
          <w:rFonts w:ascii="Arial" w:hAnsi="Arial" w:cs="Arial"/>
          <w:b/>
        </w:rPr>
        <w:t>Parágrafo 1</w:t>
      </w:r>
      <w:r w:rsidRPr="00E77D6C">
        <w:rPr>
          <w:rFonts w:ascii="Arial" w:hAnsi="Arial" w:cs="Arial"/>
        </w:rPr>
        <w:t>. El Sistema de Gestión de Seguridad y Salud en el Trabajo deberá tener en cuenta que el control de los factores de riesgos laborales deberá enfocarse en los riesgos inherentes a la prestación de servicios de salud.</w:t>
      </w:r>
    </w:p>
    <w:p w:rsidR="00E77D6C" w:rsidRPr="00E77D6C" w:rsidRDefault="00E77D6C" w:rsidP="00E77D6C">
      <w:pPr>
        <w:pStyle w:val="Sinespaciado"/>
        <w:jc w:val="both"/>
        <w:rPr>
          <w:rFonts w:ascii="Arial" w:hAnsi="Arial" w:cs="Arial"/>
        </w:rPr>
      </w:pPr>
    </w:p>
    <w:p w:rsidR="00E77D6C" w:rsidRPr="00E77D6C" w:rsidRDefault="00E77D6C" w:rsidP="00E77D6C">
      <w:pPr>
        <w:pStyle w:val="Sinespaciado"/>
        <w:jc w:val="both"/>
        <w:rPr>
          <w:rFonts w:ascii="Arial" w:hAnsi="Arial" w:cs="Arial"/>
        </w:rPr>
      </w:pPr>
      <w:r w:rsidRPr="00E77D6C">
        <w:rPr>
          <w:rFonts w:ascii="Arial" w:hAnsi="Arial" w:cs="Arial"/>
          <w:b/>
        </w:rPr>
        <w:t xml:space="preserve">ARTÍCULO 8°. Criterios de suficiencia patrimonial. </w:t>
      </w:r>
      <w:r w:rsidRPr="00E77D6C">
        <w:rPr>
          <w:rFonts w:ascii="Arial" w:hAnsi="Arial" w:cs="Arial"/>
        </w:rPr>
        <w:t xml:space="preserve">El Ministerio de Salud y Protección Social, incluirá dentro de las condiciones de habitación de suficiencia patrimonial y financiera, los criterios relacionados con el cumplimiento oportuno de la obligación contractual al talento humano del sistema de salud,  las formas de vinculación y contratación del talento humano del sector salud de conformidad con la presente ley , así como las quejas presentadas ante la Superintendencia Nacional de Salud, el Ministerio del Trabajo y las Secretarías, Direcciones, Institutos o Unidades Administrativas Departamentales o Distritales de Salud por el incumplimiento de lo dispuesto en la presente ley y las sanciones impuestas por estas entidades. </w:t>
      </w:r>
    </w:p>
    <w:p w:rsidR="00E77D6C" w:rsidRPr="00E77D6C" w:rsidRDefault="00E77D6C" w:rsidP="00E77D6C">
      <w:pPr>
        <w:pStyle w:val="Sinespaciado"/>
        <w:jc w:val="both"/>
        <w:rPr>
          <w:rFonts w:ascii="Arial" w:hAnsi="Arial" w:cs="Arial"/>
        </w:rPr>
      </w:pPr>
      <w:r w:rsidRPr="00E77D6C">
        <w:rPr>
          <w:rFonts w:ascii="Arial" w:hAnsi="Arial" w:cs="Arial"/>
        </w:rPr>
        <w:t xml:space="preserve"> </w:t>
      </w:r>
    </w:p>
    <w:p w:rsidR="00E77D6C" w:rsidRPr="00E77D6C" w:rsidRDefault="00E77D6C" w:rsidP="00E77D6C">
      <w:pPr>
        <w:pStyle w:val="Sinespaciado"/>
        <w:jc w:val="both"/>
        <w:rPr>
          <w:rFonts w:ascii="Arial" w:hAnsi="Arial" w:cs="Arial"/>
        </w:rPr>
      </w:pPr>
      <w:r w:rsidRPr="00E77D6C">
        <w:rPr>
          <w:rFonts w:ascii="Arial" w:hAnsi="Arial" w:cs="Arial"/>
        </w:rPr>
        <w:t xml:space="preserve">El Ministerio del Trabajo y la Superintendencia Nacional de Salud certificará con destino a las Secretarías, Direcciones, Institutos o Unidades Administrativas Departamentales o Distritales de Salud en los periodos que defina el Ministerio de Salud y Protección, la siguiente información: </w:t>
      </w:r>
    </w:p>
    <w:p w:rsidR="00E77D6C" w:rsidRPr="00E77D6C" w:rsidRDefault="00E77D6C" w:rsidP="00E77D6C">
      <w:pPr>
        <w:pStyle w:val="Sinespaciado"/>
        <w:jc w:val="both"/>
        <w:rPr>
          <w:rFonts w:ascii="Arial" w:hAnsi="Arial" w:cs="Arial"/>
        </w:rPr>
      </w:pPr>
      <w:r w:rsidRPr="00E77D6C">
        <w:rPr>
          <w:rFonts w:ascii="Arial" w:hAnsi="Arial" w:cs="Arial"/>
        </w:rPr>
        <w:t xml:space="preserve"> </w:t>
      </w:r>
    </w:p>
    <w:p w:rsidR="00E77D6C" w:rsidRPr="00E77D6C" w:rsidRDefault="00E77D6C" w:rsidP="00E77D6C">
      <w:pPr>
        <w:pStyle w:val="Sinespaciado"/>
        <w:numPr>
          <w:ilvl w:val="0"/>
          <w:numId w:val="38"/>
        </w:numPr>
        <w:jc w:val="both"/>
        <w:rPr>
          <w:rFonts w:ascii="Arial" w:hAnsi="Arial" w:cs="Arial"/>
        </w:rPr>
      </w:pPr>
      <w:r w:rsidRPr="00E77D6C">
        <w:rPr>
          <w:rFonts w:ascii="Arial" w:hAnsi="Arial" w:cs="Arial"/>
        </w:rPr>
        <w:t xml:space="preserve">Nombre del Prestador. </w:t>
      </w:r>
    </w:p>
    <w:p w:rsidR="00E77D6C" w:rsidRPr="00E77D6C" w:rsidRDefault="00E77D6C" w:rsidP="00E77D6C">
      <w:pPr>
        <w:pStyle w:val="Sinespaciado"/>
        <w:numPr>
          <w:ilvl w:val="0"/>
          <w:numId w:val="38"/>
        </w:numPr>
        <w:jc w:val="both"/>
        <w:rPr>
          <w:rFonts w:ascii="Arial" w:hAnsi="Arial" w:cs="Arial"/>
        </w:rPr>
      </w:pPr>
      <w:proofErr w:type="spellStart"/>
      <w:r w:rsidRPr="00E77D6C">
        <w:rPr>
          <w:rFonts w:ascii="Arial" w:hAnsi="Arial" w:cs="Arial"/>
        </w:rPr>
        <w:t>Nit</w:t>
      </w:r>
      <w:proofErr w:type="spellEnd"/>
      <w:r w:rsidRPr="00E77D6C">
        <w:rPr>
          <w:rFonts w:ascii="Arial" w:hAnsi="Arial" w:cs="Arial"/>
        </w:rPr>
        <w:t xml:space="preserve"> </w:t>
      </w:r>
    </w:p>
    <w:p w:rsidR="00E77D6C" w:rsidRPr="00E77D6C" w:rsidRDefault="00E77D6C" w:rsidP="00E77D6C">
      <w:pPr>
        <w:pStyle w:val="Sinespaciado"/>
        <w:numPr>
          <w:ilvl w:val="0"/>
          <w:numId w:val="38"/>
        </w:numPr>
        <w:jc w:val="both"/>
        <w:rPr>
          <w:rFonts w:ascii="Arial" w:hAnsi="Arial" w:cs="Arial"/>
        </w:rPr>
      </w:pPr>
      <w:r w:rsidRPr="00E77D6C">
        <w:rPr>
          <w:rFonts w:ascii="Arial" w:hAnsi="Arial" w:cs="Arial"/>
        </w:rPr>
        <w:t xml:space="preserve">Código de habilitación del prestador en el Registro Especial de Prestadores de Servicios de Salud. </w:t>
      </w:r>
    </w:p>
    <w:p w:rsidR="00E77D6C" w:rsidRPr="00E77D6C" w:rsidRDefault="00E77D6C" w:rsidP="00E77D6C">
      <w:pPr>
        <w:pStyle w:val="Sinespaciado"/>
        <w:numPr>
          <w:ilvl w:val="0"/>
          <w:numId w:val="38"/>
        </w:numPr>
        <w:jc w:val="both"/>
        <w:rPr>
          <w:rFonts w:ascii="Arial" w:hAnsi="Arial" w:cs="Arial"/>
        </w:rPr>
      </w:pPr>
      <w:r w:rsidRPr="00E77D6C">
        <w:rPr>
          <w:rFonts w:ascii="Arial" w:hAnsi="Arial" w:cs="Arial"/>
        </w:rPr>
        <w:t xml:space="preserve">Número de quejas por el no pago de las obligaciones laborales y/ o contractuales con el talento humano. </w:t>
      </w:r>
    </w:p>
    <w:p w:rsidR="00E77D6C" w:rsidRPr="00E77D6C" w:rsidRDefault="00E77D6C" w:rsidP="00E77D6C">
      <w:pPr>
        <w:pStyle w:val="Sinespaciado"/>
        <w:numPr>
          <w:ilvl w:val="0"/>
          <w:numId w:val="38"/>
        </w:numPr>
        <w:jc w:val="both"/>
        <w:rPr>
          <w:rFonts w:ascii="Arial" w:hAnsi="Arial" w:cs="Arial"/>
        </w:rPr>
      </w:pPr>
      <w:r w:rsidRPr="00E77D6C">
        <w:rPr>
          <w:rFonts w:ascii="Arial" w:hAnsi="Arial" w:cs="Arial"/>
        </w:rPr>
        <w:t xml:space="preserve">Periodos de mora en el pago al talento humano en salud.  </w:t>
      </w:r>
    </w:p>
    <w:p w:rsidR="00E77D6C" w:rsidRPr="00E77D6C" w:rsidRDefault="00E77D6C" w:rsidP="00E77D6C">
      <w:pPr>
        <w:pStyle w:val="Sinespaciado"/>
        <w:numPr>
          <w:ilvl w:val="0"/>
          <w:numId w:val="38"/>
        </w:numPr>
        <w:jc w:val="both"/>
        <w:rPr>
          <w:rFonts w:ascii="Arial" w:hAnsi="Arial" w:cs="Arial"/>
        </w:rPr>
      </w:pPr>
      <w:r w:rsidRPr="00E77D6C">
        <w:rPr>
          <w:rFonts w:ascii="Arial" w:hAnsi="Arial" w:cs="Arial"/>
        </w:rPr>
        <w:t xml:space="preserve">Fecha de las quejas. </w:t>
      </w:r>
    </w:p>
    <w:p w:rsidR="00E77D6C" w:rsidRPr="00E77D6C" w:rsidRDefault="00E77D6C" w:rsidP="00E77D6C">
      <w:pPr>
        <w:pStyle w:val="Sinespaciado"/>
        <w:numPr>
          <w:ilvl w:val="0"/>
          <w:numId w:val="38"/>
        </w:numPr>
        <w:jc w:val="both"/>
        <w:rPr>
          <w:rFonts w:ascii="Arial" w:hAnsi="Arial" w:cs="Arial"/>
        </w:rPr>
      </w:pPr>
      <w:r w:rsidRPr="00E77D6C">
        <w:rPr>
          <w:rFonts w:ascii="Arial" w:hAnsi="Arial" w:cs="Arial"/>
        </w:rPr>
        <w:t>Sanciones impuestas.</w:t>
      </w:r>
    </w:p>
    <w:p w:rsidR="00E77D6C" w:rsidRPr="00E77D6C" w:rsidRDefault="00E77D6C" w:rsidP="00E77D6C">
      <w:pPr>
        <w:pStyle w:val="Sinespaciado"/>
        <w:jc w:val="both"/>
        <w:rPr>
          <w:rFonts w:ascii="Arial" w:hAnsi="Arial" w:cs="Arial"/>
        </w:rPr>
      </w:pPr>
    </w:p>
    <w:p w:rsidR="00E77D6C" w:rsidRPr="00E77D6C" w:rsidRDefault="00E77D6C" w:rsidP="00E77D6C">
      <w:pPr>
        <w:pStyle w:val="Sinespaciado"/>
        <w:ind w:hanging="2"/>
        <w:jc w:val="both"/>
        <w:rPr>
          <w:rFonts w:ascii="Arial" w:hAnsi="Arial" w:cs="Arial"/>
        </w:rPr>
      </w:pPr>
      <w:r w:rsidRPr="00E77D6C">
        <w:rPr>
          <w:rFonts w:ascii="Arial" w:hAnsi="Arial" w:cs="Arial"/>
          <w:b/>
        </w:rPr>
        <w:t>ARTÍCULO 9°.</w:t>
      </w:r>
      <w:r w:rsidRPr="00E77D6C">
        <w:rPr>
          <w:rFonts w:ascii="Arial" w:hAnsi="Arial" w:cs="Arial"/>
        </w:rPr>
        <w:t xml:space="preserve"> ningún Trabajador del Estado del sector salud que preste sus servicios a las Empresas Sociales del Estado ni del sector privado, podrá exigírsele exclusividad. Todo servidor del sector salud podrá laborar para otro empleador del sector privado o por cuenta propia en labores similares o conexas a las de su profesión y/o especialidad.  </w:t>
      </w:r>
    </w:p>
    <w:p w:rsidR="00E77D6C" w:rsidRPr="00E77D6C" w:rsidRDefault="00E77D6C" w:rsidP="00E77D6C">
      <w:pPr>
        <w:pStyle w:val="Sinespaciado"/>
        <w:ind w:hanging="2"/>
        <w:rPr>
          <w:rFonts w:ascii="Arial" w:hAnsi="Arial" w:cs="Arial"/>
        </w:rPr>
      </w:pPr>
      <w:r w:rsidRPr="00E77D6C">
        <w:rPr>
          <w:rFonts w:ascii="Arial" w:hAnsi="Arial" w:cs="Arial"/>
        </w:rPr>
        <w:t xml:space="preserve"> </w:t>
      </w:r>
    </w:p>
    <w:p w:rsidR="00E77D6C" w:rsidRPr="00E77D6C" w:rsidRDefault="00E77D6C" w:rsidP="00E77D6C">
      <w:pPr>
        <w:pStyle w:val="Sinespaciado"/>
        <w:jc w:val="both"/>
        <w:rPr>
          <w:rFonts w:ascii="Arial" w:hAnsi="Arial" w:cs="Arial"/>
        </w:rPr>
      </w:pPr>
      <w:r w:rsidRPr="00E77D6C">
        <w:rPr>
          <w:rFonts w:ascii="Arial" w:hAnsi="Arial" w:cs="Arial"/>
        </w:rPr>
        <w:t>El Trabajador del estado del Sector Salud estará cobijado por las excepciones del artículo 19 de La Ley 4ª de 1992 que estableció las excepciones generales a la prohibición constitucional de recibir más de una asignación del erario público, La exclusividad podrá pactarse de común acuerdo en los contratos que se suscriban.</w:t>
      </w:r>
    </w:p>
    <w:p w:rsidR="00E77D6C" w:rsidRPr="00E77D6C" w:rsidRDefault="00E77D6C" w:rsidP="00E77D6C">
      <w:pPr>
        <w:pStyle w:val="Sinespaciado"/>
        <w:jc w:val="both"/>
        <w:rPr>
          <w:rFonts w:ascii="Arial" w:hAnsi="Arial" w:cs="Arial"/>
        </w:rPr>
      </w:pPr>
    </w:p>
    <w:p w:rsidR="00E77D6C" w:rsidRPr="00E77D6C" w:rsidRDefault="00E77D6C" w:rsidP="00E77D6C">
      <w:pPr>
        <w:pStyle w:val="Sinespaciado"/>
        <w:ind w:hanging="2"/>
        <w:jc w:val="both"/>
        <w:rPr>
          <w:rFonts w:ascii="Arial" w:hAnsi="Arial" w:cs="Arial"/>
        </w:rPr>
      </w:pPr>
      <w:r w:rsidRPr="00E77D6C">
        <w:rPr>
          <w:rFonts w:ascii="Arial" w:hAnsi="Arial" w:cs="Arial"/>
          <w:b/>
        </w:rPr>
        <w:t>Artículo 10.</w:t>
      </w:r>
      <w:r w:rsidRPr="00E77D6C">
        <w:rPr>
          <w:rFonts w:ascii="Arial" w:hAnsi="Arial" w:cs="Arial"/>
        </w:rPr>
        <w:t xml:space="preserve"> Adiciónese un parágrafo al artículo 194 de la ley 100 de 1993, el cual quedará así:</w:t>
      </w:r>
    </w:p>
    <w:p w:rsidR="00E77D6C" w:rsidRPr="00E77D6C" w:rsidRDefault="00E77D6C" w:rsidP="00E77D6C">
      <w:pPr>
        <w:pStyle w:val="Sinespaciado"/>
        <w:ind w:hanging="2"/>
        <w:jc w:val="both"/>
        <w:rPr>
          <w:rFonts w:ascii="Arial" w:hAnsi="Arial" w:cs="Arial"/>
        </w:rPr>
      </w:pPr>
    </w:p>
    <w:p w:rsidR="00E77D6C" w:rsidRPr="00E77D6C" w:rsidRDefault="00E77D6C" w:rsidP="00E77D6C">
      <w:pPr>
        <w:pStyle w:val="Sinespaciado"/>
        <w:ind w:hanging="2"/>
        <w:jc w:val="both"/>
        <w:rPr>
          <w:rFonts w:ascii="Arial" w:hAnsi="Arial" w:cs="Arial"/>
        </w:rPr>
      </w:pPr>
      <w:r w:rsidRPr="00E77D6C">
        <w:rPr>
          <w:rFonts w:ascii="Arial" w:hAnsi="Arial" w:cs="Arial"/>
          <w:b/>
        </w:rPr>
        <w:t>Parágrafo:</w:t>
      </w:r>
      <w:r w:rsidRPr="00E77D6C">
        <w:rPr>
          <w:rFonts w:ascii="Arial" w:hAnsi="Arial" w:cs="Arial"/>
        </w:rPr>
        <w:t xml:space="preserve"> Para efecto del salario y prestaciones de los servidores públicos, que prestan sus servicios en las Empresas Sociales del Estado – E.S.E, se financiaran con cargo a la Unidad de Pago por Capitación UPC, la cual será girada directamente desde el ADRES o quien haga sus funciones en el futuro, y debe garantizarse un valor no inferior del 3% y no superior del 5% de la misma para el pago de dichas nóminas. </w:t>
      </w:r>
    </w:p>
    <w:p w:rsidR="00E77D6C" w:rsidRPr="00E77D6C" w:rsidRDefault="00E77D6C" w:rsidP="00E77D6C">
      <w:pPr>
        <w:pStyle w:val="Sinespaciado"/>
        <w:jc w:val="both"/>
        <w:rPr>
          <w:rFonts w:ascii="Arial" w:hAnsi="Arial" w:cs="Arial"/>
        </w:rPr>
      </w:pPr>
    </w:p>
    <w:p w:rsidR="00E77D6C" w:rsidRPr="00E77D6C" w:rsidRDefault="00E77D6C" w:rsidP="00E77D6C">
      <w:pPr>
        <w:pStyle w:val="Sinespaciado"/>
        <w:jc w:val="both"/>
        <w:rPr>
          <w:rFonts w:ascii="Arial" w:hAnsi="Arial" w:cs="Arial"/>
        </w:rPr>
      </w:pPr>
      <w:r w:rsidRPr="00E77D6C">
        <w:rPr>
          <w:rFonts w:ascii="Arial" w:hAnsi="Arial" w:cs="Arial"/>
          <w:b/>
        </w:rPr>
        <w:lastRenderedPageBreak/>
        <w:t xml:space="preserve">ARTÍCULO 11. Vigencia y derogatoria. </w:t>
      </w:r>
      <w:r w:rsidRPr="00E77D6C">
        <w:rPr>
          <w:rFonts w:ascii="Arial" w:hAnsi="Arial" w:cs="Arial"/>
        </w:rPr>
        <w:t>La presente ley rige a partir de la fecha de su promulgación y publicación.</w:t>
      </w:r>
    </w:p>
    <w:p w:rsidR="006976EA" w:rsidRDefault="006976EA" w:rsidP="006976EA">
      <w:pPr>
        <w:pStyle w:val="Sinespaciado"/>
        <w:jc w:val="both"/>
        <w:rPr>
          <w:rFonts w:ascii="Arial" w:hAnsi="Arial" w:cs="Arial"/>
        </w:rPr>
      </w:pPr>
      <w:r w:rsidRPr="00232981">
        <w:rPr>
          <w:rFonts w:ascii="Arial" w:hAnsi="Arial" w:cs="Arial"/>
          <w:sz w:val="21"/>
          <w:szCs w:val="21"/>
        </w:rPr>
        <w:t>.</w:t>
      </w:r>
    </w:p>
    <w:p w:rsidR="006976EA" w:rsidRDefault="006976EA" w:rsidP="006976EA">
      <w:pPr>
        <w:pStyle w:val="Sinespaciado"/>
        <w:jc w:val="both"/>
        <w:rPr>
          <w:rFonts w:ascii="Arial" w:hAnsi="Arial" w:cs="Arial"/>
        </w:rPr>
      </w:pPr>
    </w:p>
    <w:p w:rsidR="006976EA" w:rsidRDefault="006976EA" w:rsidP="006976EA">
      <w:pPr>
        <w:pStyle w:val="Sinespaciado"/>
        <w:jc w:val="both"/>
        <w:rPr>
          <w:rFonts w:ascii="Arial" w:hAnsi="Arial" w:cs="Arial"/>
        </w:rPr>
      </w:pPr>
    </w:p>
    <w:p w:rsidR="006976EA" w:rsidRDefault="006976EA" w:rsidP="006976EA">
      <w:pPr>
        <w:pStyle w:val="Sinespaciado"/>
        <w:jc w:val="both"/>
        <w:rPr>
          <w:rFonts w:ascii="Arial" w:hAnsi="Arial" w:cs="Arial"/>
        </w:rPr>
      </w:pPr>
    </w:p>
    <w:p w:rsidR="00232981" w:rsidRDefault="00232981" w:rsidP="006976EA">
      <w:pPr>
        <w:pStyle w:val="Sinespaciado"/>
        <w:jc w:val="both"/>
        <w:rPr>
          <w:rFonts w:ascii="Arial" w:eastAsia="Arial" w:hAnsi="Arial" w:cs="Arial"/>
          <w:b/>
        </w:rPr>
      </w:pPr>
    </w:p>
    <w:p w:rsidR="00232981" w:rsidRDefault="00232981" w:rsidP="006976EA">
      <w:pPr>
        <w:pStyle w:val="Sinespaciado"/>
        <w:jc w:val="both"/>
        <w:rPr>
          <w:rFonts w:ascii="Arial" w:eastAsia="Arial" w:hAnsi="Arial" w:cs="Arial"/>
          <w:b/>
        </w:rPr>
      </w:pPr>
    </w:p>
    <w:p w:rsidR="005D5DDC" w:rsidRDefault="005D5DDC" w:rsidP="006976EA">
      <w:pPr>
        <w:pStyle w:val="Sinespaciado"/>
        <w:jc w:val="both"/>
        <w:rPr>
          <w:rFonts w:ascii="Arial" w:eastAsia="Arial" w:hAnsi="Arial" w:cs="Arial"/>
          <w:b/>
        </w:rPr>
      </w:pPr>
    </w:p>
    <w:p w:rsidR="006976EA" w:rsidRDefault="00E77D6C" w:rsidP="006976EA">
      <w:pPr>
        <w:pStyle w:val="Sinespaciado"/>
        <w:jc w:val="both"/>
        <w:rPr>
          <w:rFonts w:ascii="Arial" w:eastAsia="Arial" w:hAnsi="Arial" w:cs="Arial"/>
          <w:b/>
        </w:rPr>
      </w:pPr>
      <w:r w:rsidRPr="002B5718">
        <w:rPr>
          <w:rFonts w:ascii="Arial" w:eastAsia="Arial" w:hAnsi="Arial" w:cs="Arial"/>
          <w:b/>
        </w:rPr>
        <w:t>J</w:t>
      </w:r>
      <w:r>
        <w:rPr>
          <w:rFonts w:ascii="Arial" w:eastAsia="Arial" w:hAnsi="Arial" w:cs="Arial"/>
          <w:b/>
        </w:rPr>
        <w:t>AIRO GIOVANNY CRISTANCHO TARACHE</w:t>
      </w:r>
      <w:r w:rsidR="006976EA">
        <w:rPr>
          <w:rFonts w:ascii="Arial" w:eastAsia="Arial" w:hAnsi="Arial" w:cs="Arial"/>
          <w:b/>
        </w:rPr>
        <w:tab/>
      </w:r>
      <w:r>
        <w:rPr>
          <w:rFonts w:ascii="Arial" w:eastAsia="Arial" w:hAnsi="Arial" w:cs="Arial"/>
          <w:b/>
        </w:rPr>
        <w:t xml:space="preserve">JUAN DIEGO ECHAVARRÍA SANCHÉZ </w:t>
      </w:r>
    </w:p>
    <w:p w:rsidR="006976EA" w:rsidRDefault="006976EA" w:rsidP="006976EA">
      <w:pPr>
        <w:pStyle w:val="Sinespaciado"/>
        <w:jc w:val="both"/>
        <w:rPr>
          <w:rFonts w:ascii="Arial" w:eastAsia="Arial" w:hAnsi="Arial" w:cs="Arial"/>
        </w:rPr>
      </w:pPr>
      <w:r w:rsidRPr="002B5718">
        <w:rPr>
          <w:rFonts w:ascii="Arial" w:eastAsia="Arial" w:hAnsi="Arial" w:cs="Arial"/>
        </w:rPr>
        <w:t>Representante a la Cámara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2B5718">
        <w:rPr>
          <w:rFonts w:ascii="Arial" w:eastAsia="Arial" w:hAnsi="Arial" w:cs="Arial"/>
        </w:rPr>
        <w:t>Representante a la Cámara</w:t>
      </w:r>
    </w:p>
    <w:p w:rsidR="006976EA" w:rsidRDefault="006976EA" w:rsidP="006976EA">
      <w:pPr>
        <w:pStyle w:val="Sinespaciado"/>
        <w:jc w:val="both"/>
        <w:rPr>
          <w:rFonts w:ascii="Arial" w:eastAsia="Arial" w:hAnsi="Arial" w:cs="Arial"/>
        </w:rPr>
      </w:pPr>
    </w:p>
    <w:p w:rsidR="006976EA" w:rsidRDefault="006976EA" w:rsidP="006976EA">
      <w:pPr>
        <w:pStyle w:val="Sinespaciado"/>
        <w:jc w:val="both"/>
        <w:rPr>
          <w:rFonts w:ascii="Arial" w:eastAsia="Arial" w:hAnsi="Arial" w:cs="Arial"/>
        </w:rPr>
      </w:pPr>
    </w:p>
    <w:p w:rsidR="00232981" w:rsidRDefault="00232981" w:rsidP="006976EA">
      <w:pPr>
        <w:pStyle w:val="Sinespaciado"/>
        <w:jc w:val="center"/>
        <w:rPr>
          <w:rFonts w:ascii="Arial" w:eastAsia="Arial" w:hAnsi="Arial" w:cs="Arial"/>
          <w:b/>
        </w:rPr>
      </w:pPr>
    </w:p>
    <w:p w:rsidR="00232981" w:rsidRDefault="00232981" w:rsidP="006976EA">
      <w:pPr>
        <w:pStyle w:val="Sinespaciado"/>
        <w:jc w:val="center"/>
        <w:rPr>
          <w:rFonts w:ascii="Arial" w:eastAsia="Arial" w:hAnsi="Arial" w:cs="Arial"/>
          <w:b/>
        </w:rPr>
      </w:pPr>
    </w:p>
    <w:p w:rsidR="00232981" w:rsidRDefault="00232981" w:rsidP="006976EA">
      <w:pPr>
        <w:pStyle w:val="Sinespaciado"/>
        <w:jc w:val="center"/>
        <w:rPr>
          <w:rFonts w:ascii="Arial" w:eastAsia="Arial" w:hAnsi="Arial" w:cs="Arial"/>
          <w:b/>
        </w:rPr>
      </w:pPr>
    </w:p>
    <w:p w:rsidR="005D5DDC" w:rsidRDefault="005D5DDC" w:rsidP="00232981">
      <w:pPr>
        <w:pStyle w:val="Sinespaciado"/>
        <w:jc w:val="center"/>
        <w:rPr>
          <w:rFonts w:ascii="Arial" w:eastAsia="Arial" w:hAnsi="Arial" w:cs="Arial"/>
          <w:b/>
        </w:rPr>
      </w:pPr>
    </w:p>
    <w:p w:rsidR="00232981" w:rsidRDefault="00E77D6C" w:rsidP="00E77D6C">
      <w:pPr>
        <w:pStyle w:val="Sinespaciado"/>
        <w:rPr>
          <w:rFonts w:ascii="Arial" w:eastAsia="Arial" w:hAnsi="Arial" w:cs="Arial"/>
          <w:b/>
        </w:rPr>
      </w:pPr>
      <w:r>
        <w:rPr>
          <w:rFonts w:ascii="Arial" w:eastAsia="Arial" w:hAnsi="Arial" w:cs="Arial"/>
          <w:b/>
        </w:rPr>
        <w:t>NORMA HURTADO SANCHÉZ</w:t>
      </w:r>
      <w:r>
        <w:rPr>
          <w:rFonts w:ascii="Arial" w:eastAsia="Arial" w:hAnsi="Arial" w:cs="Arial"/>
          <w:b/>
        </w:rPr>
        <w:tab/>
      </w:r>
      <w:r>
        <w:rPr>
          <w:rFonts w:ascii="Arial" w:eastAsia="Arial" w:hAnsi="Arial" w:cs="Arial"/>
          <w:b/>
        </w:rPr>
        <w:tab/>
      </w:r>
      <w:r>
        <w:rPr>
          <w:rFonts w:ascii="Arial" w:eastAsia="Arial" w:hAnsi="Arial" w:cs="Arial"/>
          <w:b/>
        </w:rPr>
        <w:tab/>
        <w:t>CARLOS EDUARDO ACOSTA LOZANO</w:t>
      </w:r>
    </w:p>
    <w:p w:rsidR="00EA48F0" w:rsidRPr="006A100D" w:rsidRDefault="00232981" w:rsidP="00E77D6C">
      <w:pPr>
        <w:pStyle w:val="Sinespaciado"/>
        <w:rPr>
          <w:rFonts w:ascii="Arial" w:hAnsi="Arial" w:cs="Arial"/>
          <w:highlight w:val="yellow"/>
        </w:rPr>
      </w:pPr>
      <w:r w:rsidRPr="002B5718">
        <w:rPr>
          <w:rFonts w:ascii="Arial" w:eastAsia="Arial" w:hAnsi="Arial" w:cs="Arial"/>
        </w:rPr>
        <w:t>Representante a la Cámara</w:t>
      </w:r>
      <w:r w:rsidR="00E77D6C">
        <w:rPr>
          <w:rFonts w:ascii="Arial" w:eastAsia="Arial" w:hAnsi="Arial" w:cs="Arial"/>
        </w:rPr>
        <w:tab/>
      </w:r>
      <w:r w:rsidR="00E77D6C">
        <w:rPr>
          <w:rFonts w:ascii="Arial" w:eastAsia="Arial" w:hAnsi="Arial" w:cs="Arial"/>
        </w:rPr>
        <w:tab/>
      </w:r>
      <w:r w:rsidR="00E77D6C">
        <w:rPr>
          <w:rFonts w:ascii="Arial" w:eastAsia="Arial" w:hAnsi="Arial" w:cs="Arial"/>
        </w:rPr>
        <w:tab/>
      </w:r>
      <w:r w:rsidR="00E77D6C">
        <w:rPr>
          <w:rFonts w:ascii="Arial" w:eastAsia="Arial" w:hAnsi="Arial" w:cs="Arial"/>
        </w:rPr>
        <w:tab/>
      </w:r>
      <w:r w:rsidR="00E77D6C" w:rsidRPr="002B5718">
        <w:rPr>
          <w:rFonts w:ascii="Arial" w:eastAsia="Arial" w:hAnsi="Arial" w:cs="Arial"/>
        </w:rPr>
        <w:t>Representante a la Cámara</w:t>
      </w:r>
    </w:p>
    <w:sectPr w:rsidR="00EA48F0" w:rsidRPr="006A100D" w:rsidSect="00D03B12">
      <w:headerReference w:type="default" r:id="rId8"/>
      <w:footerReference w:type="default" r:id="rId9"/>
      <w:pgSz w:w="12240" w:h="15840" w:code="1"/>
      <w:pgMar w:top="1701" w:right="1247" w:bottom="567" w:left="158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C84" w:rsidRDefault="00E70C84" w:rsidP="001A75AA">
      <w:pPr>
        <w:spacing w:after="0" w:line="240" w:lineRule="auto"/>
      </w:pPr>
      <w:r>
        <w:separator/>
      </w:r>
    </w:p>
  </w:endnote>
  <w:endnote w:type="continuationSeparator" w:id="0">
    <w:p w:rsidR="00E70C84" w:rsidRDefault="00E70C84"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25" w:rsidRDefault="00461A25">
    <w:pPr>
      <w:pStyle w:val="Piedepgina"/>
      <w:jc w:val="right"/>
    </w:pPr>
  </w:p>
  <w:p w:rsidR="00461A25" w:rsidRDefault="00461A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C84" w:rsidRDefault="00E70C84" w:rsidP="001A75AA">
      <w:pPr>
        <w:spacing w:after="0" w:line="240" w:lineRule="auto"/>
      </w:pPr>
      <w:r>
        <w:separator/>
      </w:r>
    </w:p>
  </w:footnote>
  <w:footnote w:type="continuationSeparator" w:id="0">
    <w:p w:rsidR="00E70C84" w:rsidRDefault="00E70C84"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25" w:rsidRDefault="00461A25">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6A244E"/>
    <w:multiLevelType w:val="hybridMultilevel"/>
    <w:tmpl w:val="FFA27E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CFC1E00"/>
    <w:multiLevelType w:val="multilevel"/>
    <w:tmpl w:val="16E8379E"/>
    <w:lvl w:ilvl="0">
      <w:start w:val="1"/>
      <w:numFmt w:val="lowerRoman"/>
      <w:lvlText w:val="%1."/>
      <w:lvlJc w:val="righ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rPr>
        <w:b/>
      </w:r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4"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9310853"/>
    <w:multiLevelType w:val="hybridMultilevel"/>
    <w:tmpl w:val="E19255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EA3669C"/>
    <w:multiLevelType w:val="hybridMultilevel"/>
    <w:tmpl w:val="08E0BA0E"/>
    <w:lvl w:ilvl="0" w:tplc="47B0C272">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29" w15:restartNumberingAfterBreak="0">
    <w:nsid w:val="622C05E4"/>
    <w:multiLevelType w:val="multilevel"/>
    <w:tmpl w:val="9790F8C8"/>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rFonts w:ascii="Arial" w:eastAsia="Arial" w:hAnsi="Arial" w:cs="Arial"/>
        <w:b/>
        <w:i w:val="0"/>
        <w:sz w:val="20"/>
        <w:szCs w:val="20"/>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30"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05656A"/>
    <w:multiLevelType w:val="hybridMultilevel"/>
    <w:tmpl w:val="7ECCF7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7D27CCC"/>
    <w:multiLevelType w:val="hybridMultilevel"/>
    <w:tmpl w:val="2F6A7C00"/>
    <w:lvl w:ilvl="0" w:tplc="A4E4651A">
      <w:start w:val="1"/>
      <w:numFmt w:val="decimal"/>
      <w:lvlText w:val="%1."/>
      <w:lvlJc w:val="left"/>
      <w:pPr>
        <w:ind w:left="358" w:hanging="360"/>
      </w:pPr>
      <w:rPr>
        <w:rFonts w:hint="default"/>
        <w:color w:val="00000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7"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30"/>
  </w:num>
  <w:num w:numId="3">
    <w:abstractNumId w:val="4"/>
  </w:num>
  <w:num w:numId="4">
    <w:abstractNumId w:val="16"/>
  </w:num>
  <w:num w:numId="5">
    <w:abstractNumId w:val="0"/>
  </w:num>
  <w:num w:numId="6">
    <w:abstractNumId w:val="19"/>
  </w:num>
  <w:num w:numId="7">
    <w:abstractNumId w:val="37"/>
  </w:num>
  <w:num w:numId="8">
    <w:abstractNumId w:val="6"/>
  </w:num>
  <w:num w:numId="9">
    <w:abstractNumId w:val="5"/>
  </w:num>
  <w:num w:numId="10">
    <w:abstractNumId w:val="25"/>
  </w:num>
  <w:num w:numId="11">
    <w:abstractNumId w:val="34"/>
  </w:num>
  <w:num w:numId="12">
    <w:abstractNumId w:val="13"/>
  </w:num>
  <w:num w:numId="13">
    <w:abstractNumId w:val="8"/>
  </w:num>
  <w:num w:numId="14">
    <w:abstractNumId w:val="17"/>
  </w:num>
  <w:num w:numId="15">
    <w:abstractNumId w:val="12"/>
  </w:num>
  <w:num w:numId="16">
    <w:abstractNumId w:val="33"/>
  </w:num>
  <w:num w:numId="17">
    <w:abstractNumId w:val="22"/>
  </w:num>
  <w:num w:numId="18">
    <w:abstractNumId w:val="20"/>
  </w:num>
  <w:num w:numId="19">
    <w:abstractNumId w:val="24"/>
  </w:num>
  <w:num w:numId="20">
    <w:abstractNumId w:val="35"/>
  </w:num>
  <w:num w:numId="21">
    <w:abstractNumId w:val="2"/>
  </w:num>
  <w:num w:numId="22">
    <w:abstractNumId w:val="14"/>
  </w:num>
  <w:num w:numId="23">
    <w:abstractNumId w:val="7"/>
  </w:num>
  <w:num w:numId="24">
    <w:abstractNumId w:val="31"/>
  </w:num>
  <w:num w:numId="25">
    <w:abstractNumId w:val="15"/>
  </w:num>
  <w:num w:numId="26">
    <w:abstractNumId w:val="3"/>
  </w:num>
  <w:num w:numId="27">
    <w:abstractNumId w:val="1"/>
  </w:num>
  <w:num w:numId="28">
    <w:abstractNumId w:val="27"/>
  </w:num>
  <w:num w:numId="29">
    <w:abstractNumId w:val="9"/>
  </w:num>
  <w:num w:numId="30">
    <w:abstractNumId w:val="18"/>
  </w:num>
  <w:num w:numId="31">
    <w:abstractNumId w:val="11"/>
  </w:num>
  <w:num w:numId="32">
    <w:abstractNumId w:val="29"/>
  </w:num>
  <w:num w:numId="33">
    <w:abstractNumId w:val="23"/>
  </w:num>
  <w:num w:numId="34">
    <w:abstractNumId w:val="28"/>
  </w:num>
  <w:num w:numId="35">
    <w:abstractNumId w:val="36"/>
  </w:num>
  <w:num w:numId="36">
    <w:abstractNumId w:val="32"/>
  </w:num>
  <w:num w:numId="37">
    <w:abstractNumId w:val="26"/>
  </w:num>
  <w:num w:numId="3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32714"/>
    <w:rsid w:val="00044901"/>
    <w:rsid w:val="00045135"/>
    <w:rsid w:val="00047FB1"/>
    <w:rsid w:val="00050B7F"/>
    <w:rsid w:val="000512BC"/>
    <w:rsid w:val="00052081"/>
    <w:rsid w:val="00053857"/>
    <w:rsid w:val="0005764D"/>
    <w:rsid w:val="00061172"/>
    <w:rsid w:val="00061D04"/>
    <w:rsid w:val="00062D9C"/>
    <w:rsid w:val="00063138"/>
    <w:rsid w:val="0006405F"/>
    <w:rsid w:val="000646E7"/>
    <w:rsid w:val="00065EC1"/>
    <w:rsid w:val="00075E9A"/>
    <w:rsid w:val="00080475"/>
    <w:rsid w:val="00082027"/>
    <w:rsid w:val="000850AF"/>
    <w:rsid w:val="00087E7C"/>
    <w:rsid w:val="000911A5"/>
    <w:rsid w:val="00091304"/>
    <w:rsid w:val="00091500"/>
    <w:rsid w:val="00093146"/>
    <w:rsid w:val="00093284"/>
    <w:rsid w:val="000958D4"/>
    <w:rsid w:val="000971B7"/>
    <w:rsid w:val="000A3D97"/>
    <w:rsid w:val="000B047D"/>
    <w:rsid w:val="000B2847"/>
    <w:rsid w:val="000B41A9"/>
    <w:rsid w:val="000B5E53"/>
    <w:rsid w:val="000B7E47"/>
    <w:rsid w:val="000C53A5"/>
    <w:rsid w:val="000C69AC"/>
    <w:rsid w:val="000D2E8E"/>
    <w:rsid w:val="000D2F68"/>
    <w:rsid w:val="000D5488"/>
    <w:rsid w:val="000E511E"/>
    <w:rsid w:val="00101CEA"/>
    <w:rsid w:val="00102759"/>
    <w:rsid w:val="001038E6"/>
    <w:rsid w:val="001104F2"/>
    <w:rsid w:val="00110B0B"/>
    <w:rsid w:val="00112E02"/>
    <w:rsid w:val="00113EB9"/>
    <w:rsid w:val="0011513A"/>
    <w:rsid w:val="00122DC5"/>
    <w:rsid w:val="001234ED"/>
    <w:rsid w:val="00123ECB"/>
    <w:rsid w:val="00124E4A"/>
    <w:rsid w:val="0012725A"/>
    <w:rsid w:val="0013482D"/>
    <w:rsid w:val="0014237A"/>
    <w:rsid w:val="00145AAF"/>
    <w:rsid w:val="00145B72"/>
    <w:rsid w:val="00151008"/>
    <w:rsid w:val="00153C8A"/>
    <w:rsid w:val="00155006"/>
    <w:rsid w:val="0015569A"/>
    <w:rsid w:val="0015635A"/>
    <w:rsid w:val="0016267E"/>
    <w:rsid w:val="00166919"/>
    <w:rsid w:val="00170A3E"/>
    <w:rsid w:val="00176D9E"/>
    <w:rsid w:val="0017734E"/>
    <w:rsid w:val="001858C5"/>
    <w:rsid w:val="0018610E"/>
    <w:rsid w:val="00193FCF"/>
    <w:rsid w:val="001A0BCD"/>
    <w:rsid w:val="001A224E"/>
    <w:rsid w:val="001A5423"/>
    <w:rsid w:val="001A671F"/>
    <w:rsid w:val="001A71EF"/>
    <w:rsid w:val="001A75AA"/>
    <w:rsid w:val="001B1EBA"/>
    <w:rsid w:val="001B749C"/>
    <w:rsid w:val="001C239C"/>
    <w:rsid w:val="001C7B89"/>
    <w:rsid w:val="001D6579"/>
    <w:rsid w:val="001D7E11"/>
    <w:rsid w:val="001E27BF"/>
    <w:rsid w:val="001E78F7"/>
    <w:rsid w:val="001F0B99"/>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30"/>
    <w:rsid w:val="00224B82"/>
    <w:rsid w:val="00230617"/>
    <w:rsid w:val="00231796"/>
    <w:rsid w:val="00232981"/>
    <w:rsid w:val="0023355F"/>
    <w:rsid w:val="002363A8"/>
    <w:rsid w:val="0023738E"/>
    <w:rsid w:val="00247B5D"/>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5590"/>
    <w:rsid w:val="00297711"/>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24F4"/>
    <w:rsid w:val="0031513C"/>
    <w:rsid w:val="0032258F"/>
    <w:rsid w:val="0033696A"/>
    <w:rsid w:val="0034020B"/>
    <w:rsid w:val="00341B2A"/>
    <w:rsid w:val="003454EC"/>
    <w:rsid w:val="00345666"/>
    <w:rsid w:val="00353CE9"/>
    <w:rsid w:val="00357F79"/>
    <w:rsid w:val="00357FF3"/>
    <w:rsid w:val="00360ABC"/>
    <w:rsid w:val="00361F45"/>
    <w:rsid w:val="00364C76"/>
    <w:rsid w:val="003725E7"/>
    <w:rsid w:val="00373397"/>
    <w:rsid w:val="003765E4"/>
    <w:rsid w:val="00383C8B"/>
    <w:rsid w:val="00391812"/>
    <w:rsid w:val="003A01C5"/>
    <w:rsid w:val="003A26FB"/>
    <w:rsid w:val="003A4DEC"/>
    <w:rsid w:val="003A6AE5"/>
    <w:rsid w:val="003B0F5C"/>
    <w:rsid w:val="003B2C8F"/>
    <w:rsid w:val="003B359B"/>
    <w:rsid w:val="003B3EBB"/>
    <w:rsid w:val="003B50C1"/>
    <w:rsid w:val="003C0DF5"/>
    <w:rsid w:val="003C2A93"/>
    <w:rsid w:val="003C3E07"/>
    <w:rsid w:val="003D161F"/>
    <w:rsid w:val="003D1A97"/>
    <w:rsid w:val="003D3D21"/>
    <w:rsid w:val="003D7516"/>
    <w:rsid w:val="003D7EC1"/>
    <w:rsid w:val="003E193F"/>
    <w:rsid w:val="003E215A"/>
    <w:rsid w:val="003E3BD9"/>
    <w:rsid w:val="003E4343"/>
    <w:rsid w:val="003E585B"/>
    <w:rsid w:val="003E5F08"/>
    <w:rsid w:val="003F0BA6"/>
    <w:rsid w:val="003F262C"/>
    <w:rsid w:val="003F43C3"/>
    <w:rsid w:val="003F538E"/>
    <w:rsid w:val="00400978"/>
    <w:rsid w:val="00402816"/>
    <w:rsid w:val="00403495"/>
    <w:rsid w:val="0040798F"/>
    <w:rsid w:val="00414583"/>
    <w:rsid w:val="004201B0"/>
    <w:rsid w:val="004229F1"/>
    <w:rsid w:val="004239FC"/>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F35"/>
    <w:rsid w:val="00480FB5"/>
    <w:rsid w:val="0048114C"/>
    <w:rsid w:val="00484FBF"/>
    <w:rsid w:val="0048518F"/>
    <w:rsid w:val="00487799"/>
    <w:rsid w:val="00493BD0"/>
    <w:rsid w:val="00494A18"/>
    <w:rsid w:val="004A1D04"/>
    <w:rsid w:val="004A2006"/>
    <w:rsid w:val="004A4C6F"/>
    <w:rsid w:val="004B0683"/>
    <w:rsid w:val="004B1160"/>
    <w:rsid w:val="004B4719"/>
    <w:rsid w:val="004B47F9"/>
    <w:rsid w:val="004B5149"/>
    <w:rsid w:val="004B7885"/>
    <w:rsid w:val="004C12E6"/>
    <w:rsid w:val="004C3501"/>
    <w:rsid w:val="004C50F6"/>
    <w:rsid w:val="004E04C3"/>
    <w:rsid w:val="004E674B"/>
    <w:rsid w:val="004E71FD"/>
    <w:rsid w:val="004E7DF6"/>
    <w:rsid w:val="004F1CE6"/>
    <w:rsid w:val="004F215A"/>
    <w:rsid w:val="004F4B33"/>
    <w:rsid w:val="0051179B"/>
    <w:rsid w:val="00513432"/>
    <w:rsid w:val="005175EF"/>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C7E"/>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D5DDC"/>
    <w:rsid w:val="005E12DE"/>
    <w:rsid w:val="005E46E7"/>
    <w:rsid w:val="005F2C9B"/>
    <w:rsid w:val="005F4DFF"/>
    <w:rsid w:val="00607AA3"/>
    <w:rsid w:val="00610945"/>
    <w:rsid w:val="0061264E"/>
    <w:rsid w:val="00613B02"/>
    <w:rsid w:val="00622B3F"/>
    <w:rsid w:val="00622B74"/>
    <w:rsid w:val="0062628C"/>
    <w:rsid w:val="006276D2"/>
    <w:rsid w:val="0063155D"/>
    <w:rsid w:val="0063371C"/>
    <w:rsid w:val="00637559"/>
    <w:rsid w:val="00643292"/>
    <w:rsid w:val="006454C1"/>
    <w:rsid w:val="00645C61"/>
    <w:rsid w:val="00651132"/>
    <w:rsid w:val="00653F2B"/>
    <w:rsid w:val="006655C2"/>
    <w:rsid w:val="00667394"/>
    <w:rsid w:val="00670DED"/>
    <w:rsid w:val="00671BC3"/>
    <w:rsid w:val="0067641B"/>
    <w:rsid w:val="00677FDE"/>
    <w:rsid w:val="00681AE7"/>
    <w:rsid w:val="00681C48"/>
    <w:rsid w:val="006842D0"/>
    <w:rsid w:val="006846A0"/>
    <w:rsid w:val="006904B4"/>
    <w:rsid w:val="00695983"/>
    <w:rsid w:val="006976EA"/>
    <w:rsid w:val="00697FF4"/>
    <w:rsid w:val="006A06BA"/>
    <w:rsid w:val="006A0D57"/>
    <w:rsid w:val="006A100D"/>
    <w:rsid w:val="006A5E49"/>
    <w:rsid w:val="006B0801"/>
    <w:rsid w:val="006B2B87"/>
    <w:rsid w:val="006B40AC"/>
    <w:rsid w:val="006B757E"/>
    <w:rsid w:val="006B76AA"/>
    <w:rsid w:val="006C2A67"/>
    <w:rsid w:val="006C302E"/>
    <w:rsid w:val="006C370B"/>
    <w:rsid w:val="006C5489"/>
    <w:rsid w:val="006C5736"/>
    <w:rsid w:val="006C5EB7"/>
    <w:rsid w:val="006D20DB"/>
    <w:rsid w:val="006D3C55"/>
    <w:rsid w:val="006E177A"/>
    <w:rsid w:val="006E1D47"/>
    <w:rsid w:val="006E441E"/>
    <w:rsid w:val="006F021B"/>
    <w:rsid w:val="006F38A8"/>
    <w:rsid w:val="006F6B69"/>
    <w:rsid w:val="00712430"/>
    <w:rsid w:val="00713DC0"/>
    <w:rsid w:val="00716397"/>
    <w:rsid w:val="007167A5"/>
    <w:rsid w:val="00720ABC"/>
    <w:rsid w:val="00740BB6"/>
    <w:rsid w:val="00741569"/>
    <w:rsid w:val="00743F79"/>
    <w:rsid w:val="007446C5"/>
    <w:rsid w:val="00752B55"/>
    <w:rsid w:val="00754CD5"/>
    <w:rsid w:val="0076487F"/>
    <w:rsid w:val="00765D2D"/>
    <w:rsid w:val="00766F75"/>
    <w:rsid w:val="00772861"/>
    <w:rsid w:val="00777E62"/>
    <w:rsid w:val="0078393C"/>
    <w:rsid w:val="00783FF1"/>
    <w:rsid w:val="0078793C"/>
    <w:rsid w:val="00787B8E"/>
    <w:rsid w:val="0079437A"/>
    <w:rsid w:val="00796C52"/>
    <w:rsid w:val="0079782C"/>
    <w:rsid w:val="007A4F17"/>
    <w:rsid w:val="007B03BB"/>
    <w:rsid w:val="007B07A2"/>
    <w:rsid w:val="007B15C8"/>
    <w:rsid w:val="007B390C"/>
    <w:rsid w:val="007B419E"/>
    <w:rsid w:val="007C58E7"/>
    <w:rsid w:val="007D2527"/>
    <w:rsid w:val="007D43C4"/>
    <w:rsid w:val="007D582E"/>
    <w:rsid w:val="007E024C"/>
    <w:rsid w:val="007E0D32"/>
    <w:rsid w:val="007E2AD8"/>
    <w:rsid w:val="007F0C2F"/>
    <w:rsid w:val="007F223F"/>
    <w:rsid w:val="007F2A05"/>
    <w:rsid w:val="0080478F"/>
    <w:rsid w:val="008054C2"/>
    <w:rsid w:val="00807628"/>
    <w:rsid w:val="00813DA1"/>
    <w:rsid w:val="008246B5"/>
    <w:rsid w:val="008255F9"/>
    <w:rsid w:val="00830953"/>
    <w:rsid w:val="00832188"/>
    <w:rsid w:val="00832CEA"/>
    <w:rsid w:val="008356AE"/>
    <w:rsid w:val="0084115C"/>
    <w:rsid w:val="0084327F"/>
    <w:rsid w:val="00845B12"/>
    <w:rsid w:val="00850075"/>
    <w:rsid w:val="008561F8"/>
    <w:rsid w:val="00861595"/>
    <w:rsid w:val="008624E2"/>
    <w:rsid w:val="00862916"/>
    <w:rsid w:val="008646A7"/>
    <w:rsid w:val="00865455"/>
    <w:rsid w:val="00866AA6"/>
    <w:rsid w:val="00867570"/>
    <w:rsid w:val="00867625"/>
    <w:rsid w:val="0087202E"/>
    <w:rsid w:val="00872FE3"/>
    <w:rsid w:val="00885EEE"/>
    <w:rsid w:val="0088732B"/>
    <w:rsid w:val="00890AB9"/>
    <w:rsid w:val="00894FA1"/>
    <w:rsid w:val="00896C13"/>
    <w:rsid w:val="008A21D1"/>
    <w:rsid w:val="008A2D0D"/>
    <w:rsid w:val="008B0560"/>
    <w:rsid w:val="008B0E49"/>
    <w:rsid w:val="008B2C58"/>
    <w:rsid w:val="008B71A0"/>
    <w:rsid w:val="008C4C83"/>
    <w:rsid w:val="008C4C99"/>
    <w:rsid w:val="008C6248"/>
    <w:rsid w:val="008C6F0D"/>
    <w:rsid w:val="008D61E0"/>
    <w:rsid w:val="008E049D"/>
    <w:rsid w:val="008E0963"/>
    <w:rsid w:val="008E331F"/>
    <w:rsid w:val="008E60F0"/>
    <w:rsid w:val="008E63C3"/>
    <w:rsid w:val="008F2522"/>
    <w:rsid w:val="008F4264"/>
    <w:rsid w:val="008F4687"/>
    <w:rsid w:val="008F70C6"/>
    <w:rsid w:val="00900E3B"/>
    <w:rsid w:val="009120F5"/>
    <w:rsid w:val="0092131B"/>
    <w:rsid w:val="0092191E"/>
    <w:rsid w:val="00922D76"/>
    <w:rsid w:val="00923085"/>
    <w:rsid w:val="0092320C"/>
    <w:rsid w:val="00923B0E"/>
    <w:rsid w:val="00923C23"/>
    <w:rsid w:val="00925C03"/>
    <w:rsid w:val="009277E9"/>
    <w:rsid w:val="00931867"/>
    <w:rsid w:val="00935879"/>
    <w:rsid w:val="00940610"/>
    <w:rsid w:val="00942EC8"/>
    <w:rsid w:val="00944956"/>
    <w:rsid w:val="00945341"/>
    <w:rsid w:val="00963451"/>
    <w:rsid w:val="00963D5C"/>
    <w:rsid w:val="00967BA7"/>
    <w:rsid w:val="009711F9"/>
    <w:rsid w:val="0097138F"/>
    <w:rsid w:val="00972DF0"/>
    <w:rsid w:val="00973962"/>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E1ADB"/>
    <w:rsid w:val="009E52D9"/>
    <w:rsid w:val="009F068A"/>
    <w:rsid w:val="009F2514"/>
    <w:rsid w:val="009F7BF3"/>
    <w:rsid w:val="00A05691"/>
    <w:rsid w:val="00A16740"/>
    <w:rsid w:val="00A17077"/>
    <w:rsid w:val="00A17124"/>
    <w:rsid w:val="00A20232"/>
    <w:rsid w:val="00A20FB3"/>
    <w:rsid w:val="00A223A5"/>
    <w:rsid w:val="00A24B2C"/>
    <w:rsid w:val="00A26683"/>
    <w:rsid w:val="00A32626"/>
    <w:rsid w:val="00A35FFC"/>
    <w:rsid w:val="00A3797C"/>
    <w:rsid w:val="00A43933"/>
    <w:rsid w:val="00A466E2"/>
    <w:rsid w:val="00A46B04"/>
    <w:rsid w:val="00A4736E"/>
    <w:rsid w:val="00A51B42"/>
    <w:rsid w:val="00A52153"/>
    <w:rsid w:val="00A5385F"/>
    <w:rsid w:val="00A55B53"/>
    <w:rsid w:val="00A63400"/>
    <w:rsid w:val="00A644EA"/>
    <w:rsid w:val="00A66C8B"/>
    <w:rsid w:val="00A738C2"/>
    <w:rsid w:val="00A739BC"/>
    <w:rsid w:val="00A74D8C"/>
    <w:rsid w:val="00A7616B"/>
    <w:rsid w:val="00A76565"/>
    <w:rsid w:val="00A769D4"/>
    <w:rsid w:val="00A76CEC"/>
    <w:rsid w:val="00A76ED5"/>
    <w:rsid w:val="00A8229E"/>
    <w:rsid w:val="00A908E5"/>
    <w:rsid w:val="00A92671"/>
    <w:rsid w:val="00A9451E"/>
    <w:rsid w:val="00AA3B73"/>
    <w:rsid w:val="00AA7C24"/>
    <w:rsid w:val="00AB10D9"/>
    <w:rsid w:val="00AB1FB4"/>
    <w:rsid w:val="00AB2699"/>
    <w:rsid w:val="00AB4143"/>
    <w:rsid w:val="00AC5DB8"/>
    <w:rsid w:val="00AD05D9"/>
    <w:rsid w:val="00AD580C"/>
    <w:rsid w:val="00AE5DE7"/>
    <w:rsid w:val="00AF3851"/>
    <w:rsid w:val="00AF6350"/>
    <w:rsid w:val="00B02E63"/>
    <w:rsid w:val="00B04E91"/>
    <w:rsid w:val="00B14CF6"/>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F27"/>
    <w:rsid w:val="00B943BF"/>
    <w:rsid w:val="00B94E5B"/>
    <w:rsid w:val="00BA02B8"/>
    <w:rsid w:val="00BA5448"/>
    <w:rsid w:val="00BB0BEC"/>
    <w:rsid w:val="00BB0EC1"/>
    <w:rsid w:val="00BC4C7D"/>
    <w:rsid w:val="00BD15BA"/>
    <w:rsid w:val="00BD2462"/>
    <w:rsid w:val="00BD516F"/>
    <w:rsid w:val="00BD647E"/>
    <w:rsid w:val="00BE47B6"/>
    <w:rsid w:val="00BE4D9E"/>
    <w:rsid w:val="00BE5C7C"/>
    <w:rsid w:val="00BF03AD"/>
    <w:rsid w:val="00BF2FDF"/>
    <w:rsid w:val="00BF4E5B"/>
    <w:rsid w:val="00BF5904"/>
    <w:rsid w:val="00BF7A2D"/>
    <w:rsid w:val="00C0363F"/>
    <w:rsid w:val="00C05730"/>
    <w:rsid w:val="00C068A7"/>
    <w:rsid w:val="00C07581"/>
    <w:rsid w:val="00C20502"/>
    <w:rsid w:val="00C22950"/>
    <w:rsid w:val="00C2324D"/>
    <w:rsid w:val="00C25E55"/>
    <w:rsid w:val="00C340A7"/>
    <w:rsid w:val="00C36122"/>
    <w:rsid w:val="00C41920"/>
    <w:rsid w:val="00C427DD"/>
    <w:rsid w:val="00C43F87"/>
    <w:rsid w:val="00C525EA"/>
    <w:rsid w:val="00C54F74"/>
    <w:rsid w:val="00C54FD9"/>
    <w:rsid w:val="00C55F1A"/>
    <w:rsid w:val="00C567AB"/>
    <w:rsid w:val="00C719AD"/>
    <w:rsid w:val="00C7665C"/>
    <w:rsid w:val="00C808A0"/>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61DB"/>
    <w:rsid w:val="00CD0A9B"/>
    <w:rsid w:val="00CE344D"/>
    <w:rsid w:val="00CE34C9"/>
    <w:rsid w:val="00CE5396"/>
    <w:rsid w:val="00CE5EDF"/>
    <w:rsid w:val="00CE617B"/>
    <w:rsid w:val="00CF1641"/>
    <w:rsid w:val="00CF3148"/>
    <w:rsid w:val="00CF4755"/>
    <w:rsid w:val="00CF69D0"/>
    <w:rsid w:val="00D00608"/>
    <w:rsid w:val="00D00F0A"/>
    <w:rsid w:val="00D02589"/>
    <w:rsid w:val="00D03621"/>
    <w:rsid w:val="00D03B12"/>
    <w:rsid w:val="00D06144"/>
    <w:rsid w:val="00D131EF"/>
    <w:rsid w:val="00D13B38"/>
    <w:rsid w:val="00D149E1"/>
    <w:rsid w:val="00D16E2F"/>
    <w:rsid w:val="00D23344"/>
    <w:rsid w:val="00D241B3"/>
    <w:rsid w:val="00D24419"/>
    <w:rsid w:val="00D328A2"/>
    <w:rsid w:val="00D332D3"/>
    <w:rsid w:val="00D3652C"/>
    <w:rsid w:val="00D47073"/>
    <w:rsid w:val="00D504C2"/>
    <w:rsid w:val="00D506F5"/>
    <w:rsid w:val="00D51DA8"/>
    <w:rsid w:val="00D56A38"/>
    <w:rsid w:val="00D60FBB"/>
    <w:rsid w:val="00D64ED1"/>
    <w:rsid w:val="00D7467B"/>
    <w:rsid w:val="00D761DD"/>
    <w:rsid w:val="00D803D6"/>
    <w:rsid w:val="00D8118C"/>
    <w:rsid w:val="00D81B26"/>
    <w:rsid w:val="00D83320"/>
    <w:rsid w:val="00D83610"/>
    <w:rsid w:val="00D86E0C"/>
    <w:rsid w:val="00D9054F"/>
    <w:rsid w:val="00D93B8E"/>
    <w:rsid w:val="00D94A44"/>
    <w:rsid w:val="00D97B31"/>
    <w:rsid w:val="00DA6203"/>
    <w:rsid w:val="00DB08FB"/>
    <w:rsid w:val="00DB1EC0"/>
    <w:rsid w:val="00DB2338"/>
    <w:rsid w:val="00DB5BF8"/>
    <w:rsid w:val="00DC1A7C"/>
    <w:rsid w:val="00DC3CE2"/>
    <w:rsid w:val="00DC4001"/>
    <w:rsid w:val="00DD2204"/>
    <w:rsid w:val="00DD235F"/>
    <w:rsid w:val="00DD25D8"/>
    <w:rsid w:val="00DD2F8B"/>
    <w:rsid w:val="00DD62CA"/>
    <w:rsid w:val="00DD7F0D"/>
    <w:rsid w:val="00DE4A3F"/>
    <w:rsid w:val="00DE5D05"/>
    <w:rsid w:val="00DF1E48"/>
    <w:rsid w:val="00E00117"/>
    <w:rsid w:val="00E020D5"/>
    <w:rsid w:val="00E0468A"/>
    <w:rsid w:val="00E05114"/>
    <w:rsid w:val="00E10459"/>
    <w:rsid w:val="00E15F9B"/>
    <w:rsid w:val="00E17403"/>
    <w:rsid w:val="00E222F7"/>
    <w:rsid w:val="00E24232"/>
    <w:rsid w:val="00E321F6"/>
    <w:rsid w:val="00E40C87"/>
    <w:rsid w:val="00E42F28"/>
    <w:rsid w:val="00E4662B"/>
    <w:rsid w:val="00E47A08"/>
    <w:rsid w:val="00E501B8"/>
    <w:rsid w:val="00E52A0D"/>
    <w:rsid w:val="00E53778"/>
    <w:rsid w:val="00E5517D"/>
    <w:rsid w:val="00E55E1E"/>
    <w:rsid w:val="00E61324"/>
    <w:rsid w:val="00E62CF7"/>
    <w:rsid w:val="00E67E16"/>
    <w:rsid w:val="00E70C84"/>
    <w:rsid w:val="00E71BF7"/>
    <w:rsid w:val="00E71E72"/>
    <w:rsid w:val="00E73DC8"/>
    <w:rsid w:val="00E77C5E"/>
    <w:rsid w:val="00E77D6C"/>
    <w:rsid w:val="00E80D35"/>
    <w:rsid w:val="00E8300E"/>
    <w:rsid w:val="00E876CF"/>
    <w:rsid w:val="00E87FD1"/>
    <w:rsid w:val="00E927B9"/>
    <w:rsid w:val="00E9282E"/>
    <w:rsid w:val="00E932A7"/>
    <w:rsid w:val="00EA23F9"/>
    <w:rsid w:val="00EA48F0"/>
    <w:rsid w:val="00EA67D8"/>
    <w:rsid w:val="00EB1D35"/>
    <w:rsid w:val="00EB5061"/>
    <w:rsid w:val="00EB605F"/>
    <w:rsid w:val="00EC2167"/>
    <w:rsid w:val="00EC3150"/>
    <w:rsid w:val="00EC79A6"/>
    <w:rsid w:val="00EC79F7"/>
    <w:rsid w:val="00EC7E77"/>
    <w:rsid w:val="00ED138F"/>
    <w:rsid w:val="00ED3481"/>
    <w:rsid w:val="00ED3D0E"/>
    <w:rsid w:val="00EE4766"/>
    <w:rsid w:val="00EE4B54"/>
    <w:rsid w:val="00EE5220"/>
    <w:rsid w:val="00EE73BD"/>
    <w:rsid w:val="00EF3669"/>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757C"/>
    <w:rsid w:val="00F30217"/>
    <w:rsid w:val="00F306B2"/>
    <w:rsid w:val="00F318B7"/>
    <w:rsid w:val="00F31A81"/>
    <w:rsid w:val="00F33658"/>
    <w:rsid w:val="00F343C3"/>
    <w:rsid w:val="00F35BAC"/>
    <w:rsid w:val="00F36C59"/>
    <w:rsid w:val="00F41440"/>
    <w:rsid w:val="00F4582E"/>
    <w:rsid w:val="00F53260"/>
    <w:rsid w:val="00F534FB"/>
    <w:rsid w:val="00F56B3B"/>
    <w:rsid w:val="00F570CD"/>
    <w:rsid w:val="00F66DC4"/>
    <w:rsid w:val="00F67C6B"/>
    <w:rsid w:val="00F71001"/>
    <w:rsid w:val="00F71BA2"/>
    <w:rsid w:val="00F71C27"/>
    <w:rsid w:val="00F72B35"/>
    <w:rsid w:val="00F84DEB"/>
    <w:rsid w:val="00F87CE8"/>
    <w:rsid w:val="00F933F8"/>
    <w:rsid w:val="00FA4171"/>
    <w:rsid w:val="00FA4A39"/>
    <w:rsid w:val="00FB36DF"/>
    <w:rsid w:val="00FB61E4"/>
    <w:rsid w:val="00FD31EE"/>
    <w:rsid w:val="00FD378B"/>
    <w:rsid w:val="00FD3E3B"/>
    <w:rsid w:val="00FD3E63"/>
    <w:rsid w:val="00FD4D9D"/>
    <w:rsid w:val="00FD5A94"/>
    <w:rsid w:val="00FE0837"/>
    <w:rsid w:val="00FE268D"/>
    <w:rsid w:val="00FE2780"/>
    <w:rsid w:val="00FE2D19"/>
    <w:rsid w:val="00FE3862"/>
    <w:rsid w:val="00FE409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3CF29"/>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9FED1-6794-4460-9536-A71179D88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1550</Words>
  <Characters>8528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5</cp:revision>
  <cp:lastPrinted>2021-06-16T22:34:00Z</cp:lastPrinted>
  <dcterms:created xsi:type="dcterms:W3CDTF">2021-09-29T22:22:00Z</dcterms:created>
  <dcterms:modified xsi:type="dcterms:W3CDTF">2021-09-29T22:32:00Z</dcterms:modified>
</cp:coreProperties>
</file>